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AB43A29" w:rsidR="00E90E49" w:rsidRPr="00E01926" w:rsidRDefault="00E90E49" w:rsidP="00F56AE9">
      <w:pPr>
        <w:pStyle w:val="3GPPHeader"/>
        <w:rPr>
          <w:sz w:val="32"/>
          <w:szCs w:val="32"/>
          <w:highlight w:val="yellow"/>
          <w:lang w:val="en-GB"/>
        </w:rPr>
      </w:pPr>
      <w:r w:rsidRPr="00E01926">
        <w:rPr>
          <w:lang w:val="en-GB"/>
        </w:rPr>
        <w:t>3GPP TSG-RAN WG</w:t>
      </w:r>
      <w:r w:rsidR="008F1C4E" w:rsidRPr="00E01926">
        <w:rPr>
          <w:lang w:val="en-GB"/>
        </w:rPr>
        <w:t>1</w:t>
      </w:r>
      <w:r w:rsidRPr="00E01926">
        <w:rPr>
          <w:lang w:val="en-GB"/>
        </w:rPr>
        <w:t xml:space="preserve"> </w:t>
      </w:r>
      <w:r w:rsidR="008F1C4E" w:rsidRPr="00E01926">
        <w:rPr>
          <w:lang w:val="en-GB"/>
        </w:rPr>
        <w:t xml:space="preserve">Meeting </w:t>
      </w:r>
      <w:r w:rsidRPr="00E01926">
        <w:rPr>
          <w:lang w:val="en-GB"/>
        </w:rPr>
        <w:t>#</w:t>
      </w:r>
      <w:r w:rsidR="00A611BC" w:rsidRPr="00E01926">
        <w:rPr>
          <w:lang w:val="en-GB"/>
        </w:rPr>
        <w:t>11</w:t>
      </w:r>
      <w:r w:rsidR="009553C3" w:rsidRPr="00E01926">
        <w:rPr>
          <w:lang w:val="en-GB"/>
        </w:rPr>
        <w:t>1</w:t>
      </w:r>
      <w:r w:rsidRPr="00E01926">
        <w:rPr>
          <w:lang w:val="en-GB"/>
        </w:rPr>
        <w:tab/>
      </w:r>
      <w:r w:rsidR="00091557" w:rsidRPr="00E01926">
        <w:rPr>
          <w:sz w:val="32"/>
          <w:szCs w:val="32"/>
          <w:lang w:val="en-GB"/>
        </w:rPr>
        <w:t>R</w:t>
      </w:r>
      <w:r w:rsidR="008F1C4E" w:rsidRPr="00E01926">
        <w:rPr>
          <w:sz w:val="32"/>
          <w:szCs w:val="32"/>
          <w:lang w:val="en-GB"/>
        </w:rPr>
        <w:t>1</w:t>
      </w:r>
      <w:r w:rsidR="00091557" w:rsidRPr="00E01926">
        <w:rPr>
          <w:sz w:val="32"/>
          <w:szCs w:val="32"/>
          <w:lang w:val="en-GB"/>
        </w:rPr>
        <w:t>-</w:t>
      </w:r>
      <w:r w:rsidR="00A611BC" w:rsidRPr="00A73B68">
        <w:rPr>
          <w:sz w:val="32"/>
          <w:szCs w:val="32"/>
          <w:lang w:val="en-GB"/>
        </w:rPr>
        <w:t>22</w:t>
      </w:r>
      <w:r w:rsidR="009C6B9D" w:rsidRPr="00A73B68">
        <w:rPr>
          <w:sz w:val="32"/>
          <w:szCs w:val="32"/>
          <w:lang w:val="en-GB"/>
        </w:rPr>
        <w:t>12345</w:t>
      </w:r>
    </w:p>
    <w:p w14:paraId="0CE7B7E6" w14:textId="45543500" w:rsidR="00E90E49" w:rsidRPr="00E01926" w:rsidRDefault="009553C3" w:rsidP="00F56AE9">
      <w:pPr>
        <w:pStyle w:val="3GPPHeader"/>
        <w:rPr>
          <w:lang w:val="en-GB"/>
        </w:rPr>
      </w:pPr>
      <w:r w:rsidRPr="00E01926">
        <w:rPr>
          <w:lang w:val="en-GB"/>
        </w:rPr>
        <w:t>Toulouse</w:t>
      </w:r>
      <w:r w:rsidR="0027144F" w:rsidRPr="00E01926">
        <w:rPr>
          <w:lang w:val="en-GB"/>
        </w:rPr>
        <w:t xml:space="preserve">, </w:t>
      </w:r>
      <w:r w:rsidRPr="00E01926">
        <w:rPr>
          <w:lang w:val="en-GB"/>
        </w:rPr>
        <w:t>France</w:t>
      </w:r>
      <w:r w:rsidR="0027144F" w:rsidRPr="00E01926">
        <w:rPr>
          <w:lang w:val="en-GB"/>
        </w:rPr>
        <w:t xml:space="preserve">, </w:t>
      </w:r>
      <w:r w:rsidRPr="00E01926">
        <w:rPr>
          <w:lang w:val="en-GB"/>
        </w:rPr>
        <w:t>November</w:t>
      </w:r>
      <w:r w:rsidR="0027144F" w:rsidRPr="00E01926">
        <w:rPr>
          <w:lang w:val="en-GB"/>
        </w:rPr>
        <w:t xml:space="preserve"> </w:t>
      </w:r>
      <w:r w:rsidRPr="00E01926">
        <w:rPr>
          <w:lang w:val="en-GB"/>
        </w:rPr>
        <w:t>14</w:t>
      </w:r>
      <w:r w:rsidR="001D53E7" w:rsidRPr="00E01926">
        <w:rPr>
          <w:vertAlign w:val="superscript"/>
          <w:lang w:val="en-GB"/>
        </w:rPr>
        <w:t>th</w:t>
      </w:r>
      <w:r w:rsidR="001D53E7" w:rsidRPr="00E01926">
        <w:rPr>
          <w:lang w:val="en-GB"/>
        </w:rPr>
        <w:t xml:space="preserve"> – </w:t>
      </w:r>
      <w:r w:rsidRPr="00E01926">
        <w:rPr>
          <w:lang w:val="en-GB"/>
        </w:rPr>
        <w:t>18</w:t>
      </w:r>
      <w:r w:rsidR="001D53E7" w:rsidRPr="00E01926">
        <w:rPr>
          <w:vertAlign w:val="superscript"/>
          <w:lang w:val="en-GB"/>
        </w:rPr>
        <w:t>th</w:t>
      </w:r>
      <w:r w:rsidRPr="00E01926">
        <w:rPr>
          <w:lang w:val="en-GB"/>
        </w:rPr>
        <w:t xml:space="preserve"> </w:t>
      </w:r>
      <w:r w:rsidR="0027144F" w:rsidRPr="00E01926">
        <w:rPr>
          <w:lang w:val="en-GB"/>
        </w:rPr>
        <w:t>20</w:t>
      </w:r>
      <w:r w:rsidR="00A611BC" w:rsidRPr="00E01926">
        <w:rPr>
          <w:lang w:val="en-GB"/>
        </w:rPr>
        <w:t>22</w:t>
      </w:r>
    </w:p>
    <w:p w14:paraId="3086AC07" w14:textId="77777777" w:rsidR="00E90E49" w:rsidRPr="00E01926" w:rsidRDefault="00E90E49" w:rsidP="00F56AE9">
      <w:pPr>
        <w:pStyle w:val="3GPPHeader"/>
        <w:rPr>
          <w:lang w:val="en-GB"/>
        </w:rPr>
      </w:pPr>
    </w:p>
    <w:p w14:paraId="3982483C" w14:textId="708EB658" w:rsidR="00E90E49" w:rsidRPr="00A73B68" w:rsidRDefault="00E90E49" w:rsidP="00F56AE9">
      <w:pPr>
        <w:pStyle w:val="3GPPHeader"/>
      </w:pPr>
      <w:r w:rsidRPr="00A73B68">
        <w:t>Agenda Item:</w:t>
      </w:r>
      <w:r w:rsidRPr="00A73B68">
        <w:tab/>
      </w:r>
      <w:r w:rsidR="00FF0EF6" w:rsidRPr="00A73B68">
        <w:t>9.8.2</w:t>
      </w:r>
    </w:p>
    <w:p w14:paraId="5619E868" w14:textId="77777777" w:rsidR="00E90E49" w:rsidRPr="00E01926" w:rsidRDefault="003D3C45" w:rsidP="00F56AE9">
      <w:pPr>
        <w:pStyle w:val="3GPPHeader"/>
        <w:rPr>
          <w:lang w:val="en-GB"/>
        </w:rPr>
      </w:pPr>
      <w:r w:rsidRPr="00E01926">
        <w:rPr>
          <w:lang w:val="en-GB"/>
        </w:rPr>
        <w:t>Source:</w:t>
      </w:r>
      <w:r w:rsidR="00E90E49" w:rsidRPr="00E01926">
        <w:rPr>
          <w:lang w:val="en-GB"/>
        </w:rPr>
        <w:tab/>
      </w:r>
      <w:r w:rsidR="00F64C2B" w:rsidRPr="00E01926">
        <w:rPr>
          <w:lang w:val="en-GB"/>
        </w:rPr>
        <w:t>Ericsson</w:t>
      </w:r>
    </w:p>
    <w:p w14:paraId="3AF5C9FA" w14:textId="6B85B9D5" w:rsidR="00E90E49" w:rsidRPr="00E01926" w:rsidRDefault="003D3C45" w:rsidP="00F56AE9">
      <w:pPr>
        <w:pStyle w:val="3GPPHeader"/>
        <w:rPr>
          <w:lang w:val="en-GB"/>
        </w:rPr>
      </w:pPr>
      <w:r w:rsidRPr="00E01926">
        <w:rPr>
          <w:lang w:val="en-GB"/>
        </w:rPr>
        <w:t>Title:</w:t>
      </w:r>
      <w:r w:rsidR="00E90E49" w:rsidRPr="00E01926">
        <w:rPr>
          <w:lang w:val="en-GB"/>
        </w:rPr>
        <w:tab/>
      </w:r>
      <w:r w:rsidR="009553C3" w:rsidRPr="00E01926">
        <w:rPr>
          <w:lang w:val="en-GB"/>
        </w:rPr>
        <w:t xml:space="preserve">Other aspects including control </w:t>
      </w:r>
      <w:proofErr w:type="spellStart"/>
      <w:r w:rsidR="009553C3" w:rsidRPr="00E01926">
        <w:rPr>
          <w:lang w:val="en-GB"/>
        </w:rPr>
        <w:t>signaling</w:t>
      </w:r>
      <w:proofErr w:type="spellEnd"/>
      <w:r w:rsidR="009553C3" w:rsidRPr="00E01926">
        <w:rPr>
          <w:lang w:val="en-GB"/>
        </w:rPr>
        <w:t xml:space="preserve"> and procedures in NCR</w:t>
      </w:r>
    </w:p>
    <w:p w14:paraId="025260C1" w14:textId="77777777" w:rsidR="00E90E49" w:rsidRPr="00E01926" w:rsidRDefault="00E90E49" w:rsidP="00F56AE9">
      <w:pPr>
        <w:pStyle w:val="3GPPHeader"/>
        <w:rPr>
          <w:lang w:val="en-GB"/>
        </w:rPr>
      </w:pPr>
      <w:r w:rsidRPr="00E01926">
        <w:rPr>
          <w:lang w:val="en-GB"/>
        </w:rPr>
        <w:t>Document for:</w:t>
      </w:r>
      <w:r w:rsidRPr="00E01926">
        <w:rPr>
          <w:lang w:val="en-GB"/>
        </w:rPr>
        <w:tab/>
        <w:t>Discussion, Decision</w:t>
      </w:r>
    </w:p>
    <w:p w14:paraId="2D5672ED" w14:textId="77777777" w:rsidR="00E90E49" w:rsidRPr="00E01926" w:rsidRDefault="00E90E49" w:rsidP="00E90E49">
      <w:pPr>
        <w:rPr>
          <w:lang w:val="en-GB"/>
        </w:rPr>
      </w:pPr>
    </w:p>
    <w:p w14:paraId="378F4FF8" w14:textId="607082AD" w:rsidR="00A060D1" w:rsidRPr="001621F4" w:rsidRDefault="00E90E49" w:rsidP="001621F4">
      <w:pPr>
        <w:pStyle w:val="Heading1"/>
      </w:pPr>
      <w:r w:rsidRPr="00CE0424">
        <w:t>Introduction</w:t>
      </w:r>
    </w:p>
    <w:p w14:paraId="042C6E47" w14:textId="4E8716BA" w:rsidR="00A060D1" w:rsidRPr="00DA22D6" w:rsidRDefault="00AF4D89" w:rsidP="001F4D9C">
      <w:pPr>
        <w:rPr>
          <w:lang w:val="en-GB"/>
        </w:rPr>
      </w:pPr>
      <w:r>
        <w:t xml:space="preserve">In this contribution, we discuss our view on required NCR-MT capabilities considering the NCR deployment, and the need of HARQ for PDCCH. </w:t>
      </w:r>
      <w:r w:rsidR="00A060D1" w:rsidRPr="00616207">
        <w:rPr>
          <w:lang w:val="en-GB"/>
        </w:rPr>
        <w:t xml:space="preserve">In addition to this contribution, we discuss </w:t>
      </w:r>
      <w:r w:rsidR="00A060D1">
        <w:rPr>
          <w:lang w:val="en-GB"/>
        </w:rPr>
        <w:t xml:space="preserve">signalling aspects for </w:t>
      </w:r>
      <w:r w:rsidR="00A060D1" w:rsidRPr="00616207">
        <w:rPr>
          <w:lang w:val="en-GB"/>
        </w:rPr>
        <w:t>the required control information in our accompanying contribution</w:t>
      </w:r>
      <w:r w:rsidR="004759FE">
        <w:rPr>
          <w:lang w:val="en-GB"/>
        </w:rPr>
        <w:t> </w:t>
      </w:r>
      <w:r w:rsidR="004759FE">
        <w:rPr>
          <w:lang w:val="en-GB"/>
        </w:rPr>
        <w:fldChar w:fldCharType="begin"/>
      </w:r>
      <w:r w:rsidR="004759FE">
        <w:rPr>
          <w:lang w:val="en-GB"/>
        </w:rPr>
        <w:instrText xml:space="preserve"> REF _Ref118278174 \r \h </w:instrText>
      </w:r>
      <w:r w:rsidR="004759FE">
        <w:rPr>
          <w:lang w:val="en-GB"/>
        </w:rPr>
      </w:r>
      <w:r w:rsidR="004759FE">
        <w:rPr>
          <w:lang w:val="en-GB"/>
        </w:rPr>
        <w:fldChar w:fldCharType="separate"/>
      </w:r>
      <w:r w:rsidR="00CB6BFE">
        <w:rPr>
          <w:lang w:val="en-GB"/>
        </w:rPr>
        <w:t>[2]</w:t>
      </w:r>
      <w:r w:rsidR="004759FE">
        <w:rPr>
          <w:lang w:val="en-GB"/>
        </w:rPr>
        <w:fldChar w:fldCharType="end"/>
      </w:r>
      <w:r w:rsidR="00622BE7">
        <w:rPr>
          <w:lang w:val="en-GB"/>
        </w:rPr>
        <w:t>.</w:t>
      </w:r>
    </w:p>
    <w:p w14:paraId="4A21B181" w14:textId="65552765" w:rsidR="00F53315" w:rsidRDefault="004000E8" w:rsidP="00077902">
      <w:pPr>
        <w:pStyle w:val="Heading1"/>
      </w:pPr>
      <w:bookmarkStart w:id="0" w:name="_Ref178064866"/>
      <w:r w:rsidRPr="00CE0424">
        <w:t>Discussion</w:t>
      </w:r>
      <w:bookmarkEnd w:id="0"/>
    </w:p>
    <w:p w14:paraId="604074E3" w14:textId="0D133E40" w:rsidR="00F53315" w:rsidRDefault="00077902">
      <w:pPr>
        <w:pStyle w:val="Heading2"/>
      </w:pPr>
      <w:r w:rsidRPr="00E01926">
        <w:t>NCR</w:t>
      </w:r>
      <w:r w:rsidR="000A53CC" w:rsidRPr="00E01926">
        <w:t>-MT</w:t>
      </w:r>
      <w:r w:rsidR="000A53CC" w:rsidRPr="00567847">
        <w:t>’s</w:t>
      </w:r>
      <w:r w:rsidR="00F53315">
        <w:t xml:space="preserve"> beam management</w:t>
      </w:r>
      <w:r w:rsidR="000A53CC">
        <w:t xml:space="preserve"> capability</w:t>
      </w:r>
    </w:p>
    <w:p w14:paraId="13901F10" w14:textId="3647DD2A" w:rsidR="005831CA" w:rsidRPr="008653EB" w:rsidRDefault="005831CA" w:rsidP="005831CA">
      <w:pPr>
        <w:rPr>
          <w:lang w:val="en-GB" w:eastAsia="ja-JP"/>
        </w:rPr>
      </w:pPr>
      <w:r w:rsidRPr="00DA22D6">
        <w:rPr>
          <w:rFonts w:cs="Arial"/>
          <w:szCs w:val="20"/>
          <w:lang w:val="en-GB"/>
        </w:rPr>
        <w:t>For Rel-18 NCR, the following agreement</w:t>
      </w:r>
      <w:r w:rsidR="000B016D" w:rsidRPr="00DA22D6">
        <w:rPr>
          <w:rFonts w:cs="Arial"/>
          <w:szCs w:val="20"/>
          <w:lang w:val="en-GB"/>
        </w:rPr>
        <w:t>s</w:t>
      </w:r>
      <w:r w:rsidRPr="00DA22D6">
        <w:rPr>
          <w:rFonts w:cs="Arial"/>
          <w:szCs w:val="20"/>
          <w:lang w:val="en-GB"/>
        </w:rPr>
        <w:t xml:space="preserve"> regarding</w:t>
      </w:r>
      <w:r w:rsidR="000B016D" w:rsidRPr="00DA22D6">
        <w:rPr>
          <w:rFonts w:cs="Arial"/>
          <w:szCs w:val="20"/>
          <w:lang w:val="en-GB"/>
        </w:rPr>
        <w:t xml:space="preserve"> legacy CSI measurement/report mechanisms and sounding procedure</w:t>
      </w:r>
      <w:r w:rsidRPr="00DA22D6">
        <w:rPr>
          <w:rFonts w:cs="Arial"/>
          <w:szCs w:val="20"/>
          <w:lang w:val="en-GB"/>
        </w:rPr>
        <w:t xml:space="preserve"> was made in the RAN1#110bis-e meetings</w:t>
      </w:r>
      <w:r w:rsidR="004759FE">
        <w:rPr>
          <w:rFonts w:cs="Arial"/>
          <w:szCs w:val="20"/>
          <w:lang w:val="en-GB"/>
        </w:rPr>
        <w:t> </w:t>
      </w:r>
      <w:r w:rsidR="004759FE">
        <w:rPr>
          <w:rFonts w:cs="Arial"/>
          <w:szCs w:val="20"/>
          <w:lang w:val="en-GB"/>
        </w:rPr>
        <w:fldChar w:fldCharType="begin"/>
      </w:r>
      <w:r w:rsidR="004759FE">
        <w:rPr>
          <w:rFonts w:cs="Arial"/>
          <w:szCs w:val="20"/>
          <w:lang w:val="en-GB"/>
        </w:rPr>
        <w:instrText xml:space="preserve"> REF _Ref118278189 \r \h </w:instrText>
      </w:r>
      <w:r w:rsidR="004759FE">
        <w:rPr>
          <w:rFonts w:cs="Arial"/>
          <w:szCs w:val="20"/>
          <w:lang w:val="en-GB"/>
        </w:rPr>
      </w:r>
      <w:r w:rsidR="004759FE">
        <w:rPr>
          <w:rFonts w:cs="Arial"/>
          <w:szCs w:val="20"/>
          <w:lang w:val="en-GB"/>
        </w:rPr>
        <w:fldChar w:fldCharType="separate"/>
      </w:r>
      <w:r w:rsidR="00CB6BFE">
        <w:rPr>
          <w:rFonts w:cs="Arial"/>
          <w:szCs w:val="20"/>
          <w:lang w:val="en-GB"/>
        </w:rPr>
        <w:t>[3]</w:t>
      </w:r>
      <w:r w:rsidR="004759FE">
        <w:rPr>
          <w:rFonts w:cs="Arial"/>
          <w:szCs w:val="20"/>
          <w:lang w:val="en-GB"/>
        </w:rPr>
        <w:fldChar w:fldCharType="end"/>
      </w:r>
      <w:r w:rsidRPr="00DA22D6">
        <w:rPr>
          <w:rFonts w:cs="Arial"/>
          <w:szCs w:val="20"/>
          <w:lang w:val="en-GB"/>
        </w:rPr>
        <w:t>.</w:t>
      </w:r>
      <w:r w:rsidRPr="008653EB">
        <w:rPr>
          <w:lang w:val="en-GB" w:eastAsia="ja-JP"/>
        </w:rPr>
        <w:t xml:space="preserve"> </w:t>
      </w:r>
    </w:p>
    <w:tbl>
      <w:tblPr>
        <w:tblStyle w:val="TableGrid"/>
        <w:tblW w:w="0" w:type="auto"/>
        <w:tblLook w:val="04A0" w:firstRow="1" w:lastRow="0" w:firstColumn="1" w:lastColumn="0" w:noHBand="0" w:noVBand="1"/>
      </w:tblPr>
      <w:tblGrid>
        <w:gridCol w:w="9629"/>
      </w:tblGrid>
      <w:tr w:rsidR="001F4D9C" w14:paraId="0FF78C68" w14:textId="77777777" w:rsidTr="00810681">
        <w:tc>
          <w:tcPr>
            <w:tcW w:w="9629" w:type="dxa"/>
          </w:tcPr>
          <w:p w14:paraId="1B0471DF" w14:textId="77777777" w:rsidR="005831CA" w:rsidRPr="00DA22D6" w:rsidRDefault="005831CA" w:rsidP="00810681">
            <w:pPr>
              <w:shd w:val="clear" w:color="auto" w:fill="FFFFFF"/>
              <w:spacing w:after="0" w:line="240" w:lineRule="auto"/>
              <w:jc w:val="left"/>
              <w:rPr>
                <w:rFonts w:ascii="Times" w:eastAsia="SimSun" w:hAnsi="Times" w:cs="Times"/>
                <w:b/>
                <w:color w:val="493118"/>
                <w:szCs w:val="20"/>
                <w:highlight w:val="green"/>
                <w:shd w:val="clear" w:color="auto" w:fill="FFFF00"/>
                <w:lang w:val="en-GB" w:eastAsia="zh-CN"/>
              </w:rPr>
            </w:pPr>
            <w:r w:rsidRPr="00DA22D6">
              <w:rPr>
                <w:rFonts w:ascii="Times" w:eastAsia="SimSun" w:hAnsi="Times" w:cs="Times"/>
                <w:b/>
                <w:color w:val="493118"/>
                <w:szCs w:val="20"/>
                <w:highlight w:val="green"/>
                <w:lang w:val="en-GB" w:eastAsia="zh-CN"/>
              </w:rPr>
              <w:t>Agreement (RAN1#110bis-e)</w:t>
            </w:r>
          </w:p>
          <w:p w14:paraId="434D5124" w14:textId="77777777" w:rsidR="005831CA" w:rsidRPr="00DA22D6" w:rsidRDefault="005831CA" w:rsidP="005831CA">
            <w:pPr>
              <w:spacing w:after="0" w:line="240" w:lineRule="auto"/>
              <w:jc w:val="left"/>
              <w:rPr>
                <w:rFonts w:ascii="Times" w:eastAsia="MS Gothic" w:hAnsi="Times" w:cs="Times"/>
                <w:color w:val="000000"/>
                <w:szCs w:val="20"/>
                <w:lang w:val="en-GB" w:eastAsia="x-none"/>
              </w:rPr>
            </w:pPr>
          </w:p>
          <w:p w14:paraId="352006B1" w14:textId="77777777" w:rsidR="005831CA" w:rsidRPr="005831CA" w:rsidRDefault="005831CA" w:rsidP="005831CA">
            <w:pPr>
              <w:spacing w:after="0" w:line="240" w:lineRule="auto"/>
              <w:jc w:val="left"/>
              <w:rPr>
                <w:rFonts w:ascii="Times" w:eastAsia="Batang" w:hAnsi="Times" w:cs="Times New Roman"/>
                <w:bCs/>
                <w:iCs/>
                <w:szCs w:val="24"/>
                <w:lang w:val="en-GB"/>
              </w:rPr>
            </w:pPr>
            <w:r w:rsidRPr="005831CA">
              <w:rPr>
                <w:rFonts w:ascii="Times" w:eastAsia="Batang" w:hAnsi="Times" w:cs="Times New Roman"/>
                <w:bCs/>
                <w:iCs/>
                <w:szCs w:val="24"/>
                <w:lang w:val="en-GB"/>
              </w:rPr>
              <w:t>To support CSI measurement/reporting mechanisms for NCR-MT in C-link</w:t>
            </w:r>
          </w:p>
          <w:p w14:paraId="28AD714B" w14:textId="77777777" w:rsidR="005831CA" w:rsidRPr="005831CA" w:rsidRDefault="005831CA" w:rsidP="005831CA">
            <w:pPr>
              <w:numPr>
                <w:ilvl w:val="0"/>
                <w:numId w:val="29"/>
              </w:numPr>
              <w:spacing w:after="0" w:line="240" w:lineRule="auto"/>
              <w:contextualSpacing/>
              <w:jc w:val="left"/>
              <w:rPr>
                <w:rFonts w:ascii="Times" w:eastAsia="Batang" w:hAnsi="Times" w:cs="Times New Roman"/>
                <w:bCs/>
                <w:iCs/>
                <w:szCs w:val="24"/>
                <w:lang w:val="en-GB"/>
              </w:rPr>
            </w:pPr>
            <w:r w:rsidRPr="005831CA">
              <w:rPr>
                <w:rFonts w:ascii="Times" w:eastAsia="Batang" w:hAnsi="Times" w:cs="Times New Roman"/>
                <w:bCs/>
                <w:iCs/>
                <w:szCs w:val="24"/>
                <w:lang w:val="en-GB"/>
              </w:rPr>
              <w:t>The necessary legacy mechanism for receiving CSI-RS is reused for NC</w:t>
            </w:r>
            <w:r w:rsidRPr="005831CA">
              <w:rPr>
                <w:rFonts w:ascii="Times" w:eastAsia="Batang" w:hAnsi="Times" w:cs="Times New Roman" w:hint="eastAsia"/>
                <w:bCs/>
                <w:iCs/>
                <w:szCs w:val="24"/>
                <w:lang w:val="en-GB"/>
              </w:rPr>
              <w:t>R</w:t>
            </w:r>
            <w:r w:rsidRPr="005831CA">
              <w:rPr>
                <w:rFonts w:ascii="Times" w:eastAsia="Batang" w:hAnsi="Times" w:cs="Times New Roman"/>
                <w:bCs/>
                <w:iCs/>
                <w:szCs w:val="24"/>
                <w:lang w:val="en-GB"/>
              </w:rPr>
              <w:t>-MT.</w:t>
            </w:r>
          </w:p>
          <w:p w14:paraId="20E01E8B" w14:textId="77777777" w:rsidR="005831CA" w:rsidRPr="005831CA" w:rsidRDefault="005831CA" w:rsidP="005831CA">
            <w:pPr>
              <w:numPr>
                <w:ilvl w:val="0"/>
                <w:numId w:val="29"/>
              </w:numPr>
              <w:spacing w:after="0" w:line="240" w:lineRule="auto"/>
              <w:contextualSpacing/>
              <w:jc w:val="left"/>
              <w:rPr>
                <w:rFonts w:ascii="Times" w:eastAsia="Batang" w:hAnsi="Times" w:cs="Times New Roman"/>
                <w:bCs/>
                <w:iCs/>
                <w:szCs w:val="24"/>
                <w:lang w:val="en-GB"/>
              </w:rPr>
            </w:pPr>
            <w:r w:rsidRPr="005831CA">
              <w:rPr>
                <w:rFonts w:ascii="Times" w:eastAsia="Batang" w:hAnsi="Times" w:cs="Times New Roman"/>
                <w:bCs/>
                <w:iCs/>
                <w:szCs w:val="24"/>
                <w:lang w:val="en-GB"/>
              </w:rPr>
              <w:t>The necessary legacy mechanism for reporting CSI is reused for NCR-MT.</w:t>
            </w:r>
          </w:p>
          <w:p w14:paraId="51007B3C" w14:textId="77777777" w:rsidR="005831CA" w:rsidRPr="005831CA" w:rsidRDefault="005831CA" w:rsidP="005831CA">
            <w:pPr>
              <w:numPr>
                <w:ilvl w:val="0"/>
                <w:numId w:val="29"/>
              </w:numPr>
              <w:spacing w:after="0" w:line="240" w:lineRule="auto"/>
              <w:contextualSpacing/>
              <w:jc w:val="left"/>
              <w:rPr>
                <w:rFonts w:ascii="Times" w:eastAsia="Batang" w:hAnsi="Times" w:cs="Times New Roman"/>
                <w:bCs/>
                <w:iCs/>
                <w:szCs w:val="24"/>
                <w:lang w:val="en-GB"/>
              </w:rPr>
            </w:pPr>
            <w:r w:rsidRPr="005831CA">
              <w:rPr>
                <w:rFonts w:ascii="Times" w:eastAsia="Batang" w:hAnsi="Times" w:cs="Times New Roman"/>
                <w:bCs/>
                <w:iCs/>
                <w:szCs w:val="24"/>
                <w:lang w:val="en-GB"/>
              </w:rPr>
              <w:t>FFS: The details of the necessary mechanisms will be further discussed and decided.</w:t>
            </w:r>
          </w:p>
          <w:p w14:paraId="1A84843E" w14:textId="77777777" w:rsidR="005831CA" w:rsidRPr="005831CA" w:rsidRDefault="005831CA" w:rsidP="005831CA">
            <w:pPr>
              <w:numPr>
                <w:ilvl w:val="0"/>
                <w:numId w:val="29"/>
              </w:numPr>
              <w:spacing w:after="0" w:line="240" w:lineRule="auto"/>
              <w:contextualSpacing/>
              <w:jc w:val="left"/>
              <w:rPr>
                <w:rFonts w:ascii="Times" w:eastAsia="Batang" w:hAnsi="Times" w:cs="Times New Roman"/>
                <w:bCs/>
                <w:iCs/>
                <w:szCs w:val="24"/>
                <w:lang w:val="en-GB"/>
              </w:rPr>
            </w:pPr>
            <w:r w:rsidRPr="005831CA">
              <w:rPr>
                <w:rFonts w:ascii="Times" w:eastAsia="Batang" w:hAnsi="Times" w:cs="Times New Roman"/>
                <w:bCs/>
                <w:iCs/>
                <w:szCs w:val="24"/>
                <w:lang w:val="en-GB"/>
              </w:rPr>
              <w:t>Note: this does not mean all the legacy procedures for receiving CSI-</w:t>
            </w:r>
            <w:r w:rsidRPr="005831CA">
              <w:rPr>
                <w:rFonts w:ascii="Times" w:eastAsia="Batang" w:hAnsi="Times" w:cs="Times New Roman" w:hint="eastAsia"/>
                <w:bCs/>
                <w:iCs/>
                <w:szCs w:val="24"/>
                <w:lang w:val="en-GB"/>
              </w:rPr>
              <w:t>RS</w:t>
            </w:r>
            <w:r w:rsidRPr="005831CA">
              <w:rPr>
                <w:rFonts w:ascii="Times" w:eastAsia="Batang" w:hAnsi="Times" w:cs="Times New Roman"/>
                <w:bCs/>
                <w:iCs/>
                <w:szCs w:val="24"/>
                <w:lang w:val="en-GB"/>
              </w:rPr>
              <w:t xml:space="preserve"> and reporting CSI will be supported. </w:t>
            </w:r>
          </w:p>
          <w:p w14:paraId="7AC232F8" w14:textId="77777777" w:rsidR="005831CA" w:rsidRDefault="005831CA" w:rsidP="005831CA">
            <w:pPr>
              <w:spacing w:after="0" w:line="240" w:lineRule="auto"/>
              <w:jc w:val="left"/>
              <w:rPr>
                <w:sz w:val="20"/>
                <w:szCs w:val="20"/>
                <w:lang w:val="en-GB"/>
              </w:rPr>
            </w:pPr>
          </w:p>
          <w:p w14:paraId="2CC4A27C" w14:textId="5434AB99" w:rsidR="005831CA" w:rsidRPr="005831CA" w:rsidRDefault="005831CA" w:rsidP="005831CA">
            <w:pPr>
              <w:spacing w:after="0" w:line="240" w:lineRule="auto"/>
              <w:jc w:val="left"/>
              <w:rPr>
                <w:rFonts w:ascii="Times" w:eastAsia="Batang" w:hAnsi="Times" w:cs="Times New Roman"/>
                <w:b/>
                <w:bCs/>
                <w:iCs/>
                <w:szCs w:val="24"/>
                <w:highlight w:val="green"/>
                <w:lang w:val="en-GB"/>
              </w:rPr>
            </w:pPr>
            <w:r w:rsidRPr="005831CA">
              <w:rPr>
                <w:rFonts w:ascii="Times" w:eastAsia="Batang" w:hAnsi="Times" w:cs="Times New Roman"/>
                <w:b/>
                <w:bCs/>
                <w:iCs/>
                <w:szCs w:val="24"/>
                <w:highlight w:val="green"/>
                <w:lang w:val="en-GB"/>
              </w:rPr>
              <w:t>Agreement</w:t>
            </w:r>
            <w:r w:rsidR="00010930">
              <w:rPr>
                <w:rFonts w:ascii="Times" w:eastAsia="Batang" w:hAnsi="Times" w:cs="Times New Roman"/>
                <w:b/>
                <w:bCs/>
                <w:iCs/>
                <w:szCs w:val="24"/>
                <w:highlight w:val="green"/>
                <w:lang w:val="en-GB"/>
              </w:rPr>
              <w:t xml:space="preserve"> </w:t>
            </w:r>
            <w:r>
              <w:rPr>
                <w:rFonts w:ascii="Times" w:eastAsia="Batang" w:hAnsi="Times" w:cs="Times New Roman"/>
                <w:b/>
                <w:bCs/>
                <w:iCs/>
                <w:szCs w:val="24"/>
                <w:highlight w:val="green"/>
                <w:lang w:val="en-GB"/>
              </w:rPr>
              <w:t>(RAN1#110bis-e)</w:t>
            </w:r>
          </w:p>
          <w:p w14:paraId="0E9A3DF3" w14:textId="77777777" w:rsidR="005831CA" w:rsidRPr="005831CA" w:rsidRDefault="005831CA" w:rsidP="005831CA">
            <w:pPr>
              <w:spacing w:after="0" w:line="240" w:lineRule="auto"/>
              <w:jc w:val="left"/>
              <w:rPr>
                <w:rFonts w:ascii="Times" w:eastAsia="Batang" w:hAnsi="Times" w:cs="Times New Roman"/>
                <w:bCs/>
                <w:iCs/>
                <w:szCs w:val="24"/>
                <w:lang w:val="en-GB"/>
              </w:rPr>
            </w:pPr>
            <w:r w:rsidRPr="005831CA">
              <w:rPr>
                <w:rFonts w:ascii="Times" w:eastAsia="Batang" w:hAnsi="Times" w:cs="Times New Roman"/>
                <w:bCs/>
                <w:iCs/>
                <w:szCs w:val="24"/>
                <w:lang w:val="en-GB"/>
              </w:rPr>
              <w:t>To support the sounding procedure for NCR-MT in C link, the necessary mechanism of legacy UE sounding procedure is supported.</w:t>
            </w:r>
          </w:p>
          <w:p w14:paraId="4E475105" w14:textId="77777777" w:rsidR="005831CA" w:rsidRPr="005831CA" w:rsidRDefault="005831CA" w:rsidP="005831CA">
            <w:pPr>
              <w:numPr>
                <w:ilvl w:val="0"/>
                <w:numId w:val="30"/>
              </w:numPr>
              <w:spacing w:after="0" w:line="240" w:lineRule="auto"/>
              <w:contextualSpacing/>
              <w:jc w:val="left"/>
              <w:rPr>
                <w:rFonts w:ascii="Times" w:eastAsia="Batang" w:hAnsi="Times" w:cs="Times New Roman"/>
                <w:bCs/>
                <w:iCs/>
                <w:szCs w:val="24"/>
                <w:lang w:val="en-GB"/>
              </w:rPr>
            </w:pPr>
            <w:r w:rsidRPr="005831CA">
              <w:rPr>
                <w:rFonts w:ascii="Times" w:eastAsia="Batang" w:hAnsi="Times" w:cs="Times New Roman"/>
                <w:bCs/>
                <w:iCs/>
                <w:szCs w:val="24"/>
                <w:lang w:val="en-GB"/>
              </w:rPr>
              <w:t xml:space="preserve">FFS: The details of </w:t>
            </w:r>
            <w:r w:rsidRPr="005831CA">
              <w:rPr>
                <w:rFonts w:ascii="Times" w:eastAsia="Batang" w:hAnsi="Times" w:cs="Times New Roman" w:hint="eastAsia"/>
                <w:bCs/>
                <w:iCs/>
                <w:szCs w:val="24"/>
                <w:lang w:val="en-GB"/>
              </w:rPr>
              <w:t>t</w:t>
            </w:r>
            <w:r w:rsidRPr="005831CA">
              <w:rPr>
                <w:rFonts w:ascii="Times" w:eastAsia="Batang" w:hAnsi="Times" w:cs="Times New Roman"/>
                <w:bCs/>
                <w:iCs/>
                <w:szCs w:val="24"/>
                <w:lang w:val="en-GB"/>
              </w:rPr>
              <w:t>he necessary mechanism of legacy UE sounding procedure.</w:t>
            </w:r>
          </w:p>
          <w:p w14:paraId="0337B763" w14:textId="656FA0F7" w:rsidR="005831CA" w:rsidRPr="00616207" w:rsidRDefault="005831CA" w:rsidP="00B604E1">
            <w:pPr>
              <w:numPr>
                <w:ilvl w:val="0"/>
                <w:numId w:val="30"/>
              </w:numPr>
              <w:spacing w:after="0" w:line="240" w:lineRule="auto"/>
              <w:contextualSpacing/>
              <w:jc w:val="left"/>
              <w:rPr>
                <w:sz w:val="20"/>
                <w:szCs w:val="20"/>
                <w:lang w:val="en-GB"/>
              </w:rPr>
            </w:pPr>
            <w:r w:rsidRPr="005831CA">
              <w:rPr>
                <w:rFonts w:ascii="Times" w:eastAsia="Batang" w:hAnsi="Times" w:cs="Times New Roman"/>
                <w:bCs/>
                <w:iCs/>
                <w:szCs w:val="24"/>
                <w:lang w:val="en-GB"/>
              </w:rPr>
              <w:t xml:space="preserve">Note: This does not mean all legacy UE sounding procedure will be supported. </w:t>
            </w:r>
          </w:p>
        </w:tc>
      </w:tr>
    </w:tbl>
    <w:p w14:paraId="42A49C23" w14:textId="2FF21A2D" w:rsidR="006A071A" w:rsidRPr="00E01926" w:rsidRDefault="00F05B36" w:rsidP="00837431">
      <w:pPr>
        <w:spacing w:before="240"/>
        <w:rPr>
          <w:lang w:val="en-GB" w:eastAsia="ja-JP"/>
        </w:rPr>
      </w:pPr>
      <w:r w:rsidRPr="00422285">
        <w:rPr>
          <w:lang w:val="en-GB" w:eastAsia="ja-JP"/>
        </w:rPr>
        <w:t>T</w:t>
      </w:r>
      <w:r w:rsidR="00D90B58">
        <w:rPr>
          <w:lang w:val="en-GB" w:eastAsia="ja-JP"/>
        </w:rPr>
        <w:t xml:space="preserve">he FFSs </w:t>
      </w:r>
      <w:r>
        <w:rPr>
          <w:lang w:val="en-GB" w:eastAsia="ja-JP"/>
        </w:rPr>
        <w:t xml:space="preserve">in the above agreements </w:t>
      </w:r>
      <w:r w:rsidR="00D90B58">
        <w:rPr>
          <w:lang w:val="en-GB" w:eastAsia="ja-JP"/>
        </w:rPr>
        <w:t>can be discussed together with the RAN1 capabilities which are needed for the basic operation of operator deployed NCR, i.e., those features without which the system cannot operate</w:t>
      </w:r>
      <w:r>
        <w:rPr>
          <w:lang w:val="en-GB" w:eastAsia="ja-JP"/>
        </w:rPr>
        <w:t xml:space="preserve">. Specifically, </w:t>
      </w:r>
      <w:r w:rsidR="003209E5">
        <w:rPr>
          <w:lang w:val="en-GB" w:eastAsia="ja-JP"/>
        </w:rPr>
        <w:t xml:space="preserve">RAN1 should not modify existing UE functionalities that </w:t>
      </w:r>
      <w:r w:rsidR="003209E5" w:rsidRPr="00E01926">
        <w:rPr>
          <w:lang w:val="en-GB" w:eastAsia="ja-JP"/>
        </w:rPr>
        <w:t>ha</w:t>
      </w:r>
      <w:r w:rsidR="00567847">
        <w:rPr>
          <w:lang w:val="en-GB" w:eastAsia="ja-JP"/>
        </w:rPr>
        <w:t>s been</w:t>
      </w:r>
      <w:r w:rsidR="003209E5" w:rsidRPr="00567847">
        <w:rPr>
          <w:lang w:val="en-GB" w:eastAsia="ja-JP"/>
        </w:rPr>
        <w:t xml:space="preserve"> </w:t>
      </w:r>
      <w:r w:rsidR="00567847">
        <w:rPr>
          <w:lang w:val="en-GB" w:eastAsia="ja-JP"/>
        </w:rPr>
        <w:t>carefully</w:t>
      </w:r>
      <w:r w:rsidR="003209E5">
        <w:rPr>
          <w:lang w:val="en-GB" w:eastAsia="ja-JP"/>
        </w:rPr>
        <w:t xml:space="preserve"> </w:t>
      </w:r>
      <w:r w:rsidR="00DD756D">
        <w:rPr>
          <w:lang w:val="en-GB" w:eastAsia="ja-JP"/>
        </w:rPr>
        <w:t>developed and</w:t>
      </w:r>
      <w:r w:rsidR="00567847">
        <w:rPr>
          <w:lang w:val="en-GB" w:eastAsia="ja-JP"/>
        </w:rPr>
        <w:t xml:space="preserve"> specified</w:t>
      </w:r>
      <w:r w:rsidR="003209E5">
        <w:rPr>
          <w:lang w:val="en-GB" w:eastAsia="ja-JP"/>
        </w:rPr>
        <w:t>.</w:t>
      </w:r>
      <w:r w:rsidR="000A53CC">
        <w:rPr>
          <w:lang w:val="en-GB" w:eastAsia="ja-JP"/>
        </w:rPr>
        <w:t xml:space="preserve"> </w:t>
      </w:r>
      <w:r>
        <w:rPr>
          <w:lang w:val="en-GB" w:eastAsia="ja-JP"/>
        </w:rPr>
        <w:t xml:space="preserve">As such, we think, a repeater node, </w:t>
      </w:r>
      <w:proofErr w:type="gramStart"/>
      <w:r>
        <w:rPr>
          <w:lang w:val="en-GB" w:eastAsia="ja-JP"/>
        </w:rPr>
        <w:t>similar to</w:t>
      </w:r>
      <w:proofErr w:type="gramEnd"/>
      <w:r>
        <w:rPr>
          <w:lang w:val="en-GB" w:eastAsia="ja-JP"/>
        </w:rPr>
        <w:t xml:space="preserve"> an IAB-node</w:t>
      </w:r>
      <w:r w:rsidR="00567847">
        <w:rPr>
          <w:lang w:val="en-GB" w:eastAsia="ja-JP"/>
        </w:rPr>
        <w:t>,</w:t>
      </w:r>
      <w:r w:rsidRPr="00567847">
        <w:rPr>
          <w:lang w:val="en-GB" w:eastAsia="ja-JP"/>
        </w:rPr>
        <w:t xml:space="preserve"> </w:t>
      </w:r>
      <w:r w:rsidR="000A53CC" w:rsidRPr="00A707B9">
        <w:rPr>
          <w:rFonts w:cs="Arial"/>
          <w:szCs w:val="20"/>
          <w:lang w:val="en-GB"/>
        </w:rPr>
        <w:t xml:space="preserve">is a stationary node deployed according to the network </w:t>
      </w:r>
      <w:r w:rsidRPr="00A707B9">
        <w:rPr>
          <w:rFonts w:cs="Arial"/>
          <w:szCs w:val="20"/>
          <w:lang w:val="en-GB"/>
        </w:rPr>
        <w:t>planning</w:t>
      </w:r>
      <w:r w:rsidR="000B22C2" w:rsidRPr="00A707B9">
        <w:rPr>
          <w:rFonts w:cs="Arial"/>
          <w:szCs w:val="20"/>
          <w:lang w:val="en-GB"/>
        </w:rPr>
        <w:t xml:space="preserve"> done by the operator</w:t>
      </w:r>
      <w:r w:rsidRPr="00A707B9">
        <w:rPr>
          <w:rFonts w:cs="Arial"/>
          <w:szCs w:val="20"/>
          <w:lang w:val="en-GB"/>
        </w:rPr>
        <w:t xml:space="preserve">. </w:t>
      </w:r>
      <w:r w:rsidR="000B22C2" w:rsidRPr="00A707B9">
        <w:rPr>
          <w:rFonts w:cs="Arial"/>
          <w:szCs w:val="20"/>
          <w:lang w:val="en-GB"/>
        </w:rPr>
        <w:t xml:space="preserve">The planning can be expected to result in a stable control/backhaul link </w:t>
      </w:r>
      <w:r w:rsidR="00567847">
        <w:rPr>
          <w:rFonts w:cs="Arial"/>
          <w:szCs w:val="20"/>
          <w:lang w:val="en-GB"/>
        </w:rPr>
        <w:t>between</w:t>
      </w:r>
      <w:r w:rsidR="000B22C2" w:rsidRPr="00A707B9">
        <w:rPr>
          <w:rFonts w:cs="Arial"/>
          <w:szCs w:val="20"/>
          <w:lang w:val="en-GB"/>
        </w:rPr>
        <w:t xml:space="preserve"> the control</w:t>
      </w:r>
      <w:r w:rsidR="00315479" w:rsidRPr="00A707B9">
        <w:rPr>
          <w:rFonts w:cs="Arial"/>
          <w:szCs w:val="20"/>
          <w:lang w:val="en-GB"/>
        </w:rPr>
        <w:t>ling</w:t>
      </w:r>
      <w:r w:rsidR="000B22C2" w:rsidRPr="00A707B9">
        <w:rPr>
          <w:rFonts w:cs="Arial"/>
          <w:szCs w:val="20"/>
          <w:lang w:val="en-GB"/>
        </w:rPr>
        <w:t xml:space="preserve"> gNB</w:t>
      </w:r>
      <w:r w:rsidR="00567847">
        <w:rPr>
          <w:rFonts w:cs="Arial"/>
          <w:szCs w:val="20"/>
          <w:lang w:val="en-GB"/>
        </w:rPr>
        <w:t xml:space="preserve"> and </w:t>
      </w:r>
      <w:r w:rsidR="00374C28">
        <w:rPr>
          <w:rFonts w:cs="Arial"/>
          <w:szCs w:val="20"/>
          <w:lang w:val="en-GB"/>
        </w:rPr>
        <w:t xml:space="preserve">the </w:t>
      </w:r>
      <w:r w:rsidR="00567847">
        <w:rPr>
          <w:rFonts w:cs="Arial"/>
          <w:szCs w:val="20"/>
          <w:lang w:val="en-GB"/>
        </w:rPr>
        <w:t>NCR</w:t>
      </w:r>
      <w:r w:rsidR="000B22C2" w:rsidRPr="00A707B9">
        <w:rPr>
          <w:rFonts w:cs="Arial"/>
          <w:szCs w:val="20"/>
          <w:lang w:val="en-GB"/>
        </w:rPr>
        <w:t xml:space="preserve">. Hence, many UE features related to mobility and measurement </w:t>
      </w:r>
      <w:r w:rsidR="00567847">
        <w:rPr>
          <w:rFonts w:cs="Arial"/>
          <w:szCs w:val="20"/>
          <w:lang w:val="en-GB"/>
        </w:rPr>
        <w:t>are not needed for NCR-MTs</w:t>
      </w:r>
      <w:r w:rsidR="00374C28">
        <w:rPr>
          <w:rFonts w:cs="Arial"/>
          <w:szCs w:val="20"/>
          <w:lang w:val="en-GB"/>
        </w:rPr>
        <w:t>.</w:t>
      </w:r>
      <w:r w:rsidR="000B22C2" w:rsidRPr="00A707B9">
        <w:rPr>
          <w:rFonts w:cs="Arial"/>
          <w:szCs w:val="20"/>
          <w:lang w:val="en-GB"/>
        </w:rPr>
        <w:t xml:space="preserve"> </w:t>
      </w:r>
      <w:r w:rsidRPr="00A707B9">
        <w:rPr>
          <w:rFonts w:cs="Arial"/>
          <w:szCs w:val="20"/>
          <w:lang w:val="en-GB"/>
        </w:rPr>
        <w:t xml:space="preserve">As a bassline, the </w:t>
      </w:r>
      <w:r w:rsidR="00567847">
        <w:rPr>
          <w:rFonts w:cs="Arial"/>
          <w:szCs w:val="20"/>
          <w:lang w:val="en-GB"/>
        </w:rPr>
        <w:t>NCR</w:t>
      </w:r>
      <w:r w:rsidRPr="00A707B9">
        <w:rPr>
          <w:rFonts w:cs="Arial"/>
          <w:szCs w:val="20"/>
          <w:lang w:val="en-GB"/>
        </w:rPr>
        <w:t xml:space="preserve">-MT can have the same mandatory </w:t>
      </w:r>
      <w:r w:rsidRPr="00A707B9">
        <w:rPr>
          <w:rFonts w:cs="Arial"/>
          <w:szCs w:val="20"/>
          <w:lang w:val="en-GB"/>
        </w:rPr>
        <w:lastRenderedPageBreak/>
        <w:t>feature</w:t>
      </w:r>
      <w:r w:rsidR="00F44584" w:rsidRPr="00A707B9">
        <w:rPr>
          <w:rFonts w:cs="Arial"/>
          <w:szCs w:val="20"/>
          <w:lang w:val="en-GB"/>
        </w:rPr>
        <w:t>s</w:t>
      </w:r>
      <w:r w:rsidRPr="00A707B9">
        <w:rPr>
          <w:rFonts w:cs="Arial"/>
          <w:szCs w:val="20"/>
          <w:lang w:val="en-GB"/>
        </w:rPr>
        <w:t xml:space="preserve"> as </w:t>
      </w:r>
      <w:r w:rsidR="000B22C2" w:rsidRPr="00A707B9">
        <w:rPr>
          <w:rFonts w:cs="Arial"/>
          <w:szCs w:val="20"/>
          <w:lang w:val="en-GB"/>
        </w:rPr>
        <w:t xml:space="preserve">an </w:t>
      </w:r>
      <w:r w:rsidRPr="00A707B9">
        <w:rPr>
          <w:rFonts w:cs="Arial"/>
          <w:szCs w:val="20"/>
          <w:lang w:val="en-GB"/>
        </w:rPr>
        <w:t>IAB-MT</w:t>
      </w:r>
      <w:r w:rsidR="00033738" w:rsidRPr="00A707B9">
        <w:rPr>
          <w:rFonts w:cs="Arial"/>
          <w:szCs w:val="20"/>
          <w:lang w:val="en-GB"/>
        </w:rPr>
        <w:t xml:space="preserve"> </w:t>
      </w:r>
      <w:r w:rsidR="00F44584" w:rsidRPr="00A707B9">
        <w:rPr>
          <w:rFonts w:cs="Arial"/>
          <w:szCs w:val="20"/>
          <w:lang w:val="en-GB"/>
        </w:rPr>
        <w:t xml:space="preserve">agreed </w:t>
      </w:r>
      <w:r w:rsidR="00A07D77">
        <w:rPr>
          <w:rFonts w:cs="Arial"/>
          <w:szCs w:val="20"/>
          <w:lang w:val="en-GB"/>
        </w:rPr>
        <w:t>in</w:t>
      </w:r>
      <w:r w:rsidR="00033738" w:rsidRPr="00A707B9">
        <w:rPr>
          <w:rFonts w:cs="Arial"/>
          <w:szCs w:val="20"/>
          <w:lang w:val="en-GB"/>
        </w:rPr>
        <w:t xml:space="preserve"> </w:t>
      </w:r>
      <w:r w:rsidR="006A071A" w:rsidRPr="00A707B9">
        <w:rPr>
          <w:rFonts w:cs="Arial"/>
          <w:szCs w:val="20"/>
          <w:lang w:val="en-GB"/>
        </w:rPr>
        <w:t>the RAN1#101-e meeting</w:t>
      </w:r>
      <w:r w:rsidR="004759FE">
        <w:rPr>
          <w:rFonts w:cs="Arial"/>
          <w:szCs w:val="20"/>
          <w:lang w:val="en-GB"/>
        </w:rPr>
        <w:t> </w:t>
      </w:r>
      <w:r w:rsidR="00033738" w:rsidRPr="00A707B9">
        <w:rPr>
          <w:rFonts w:cs="Arial"/>
          <w:szCs w:val="20"/>
          <w:lang w:val="en-GB"/>
        </w:rPr>
        <w:fldChar w:fldCharType="begin"/>
      </w:r>
      <w:r w:rsidR="00033738" w:rsidRPr="00A707B9">
        <w:rPr>
          <w:rFonts w:cs="Arial"/>
          <w:szCs w:val="20"/>
          <w:lang w:val="en-GB"/>
        </w:rPr>
        <w:instrText xml:space="preserve"> REF _Ref117864334 \r \h </w:instrText>
      </w:r>
      <w:r w:rsidR="00033738" w:rsidRPr="00A707B9">
        <w:rPr>
          <w:rFonts w:cs="Arial"/>
          <w:szCs w:val="20"/>
          <w:lang w:val="en-GB"/>
        </w:rPr>
      </w:r>
      <w:r w:rsidR="00033738" w:rsidRPr="00A707B9">
        <w:rPr>
          <w:rFonts w:cs="Arial"/>
          <w:szCs w:val="20"/>
          <w:lang w:val="en-GB"/>
        </w:rPr>
        <w:fldChar w:fldCharType="separate"/>
      </w:r>
      <w:r w:rsidR="00CB6BFE">
        <w:rPr>
          <w:rFonts w:cs="Arial"/>
          <w:szCs w:val="20"/>
          <w:lang w:val="en-GB"/>
        </w:rPr>
        <w:t>[4]</w:t>
      </w:r>
      <w:r w:rsidR="00033738" w:rsidRPr="00A707B9">
        <w:rPr>
          <w:rFonts w:cs="Arial"/>
          <w:szCs w:val="20"/>
          <w:lang w:val="en-GB"/>
        </w:rPr>
        <w:fldChar w:fldCharType="end"/>
      </w:r>
      <w:r w:rsidR="00353B1E" w:rsidRPr="00A707B9">
        <w:rPr>
          <w:rFonts w:cs="Arial"/>
          <w:szCs w:val="20"/>
          <w:lang w:val="en-GB"/>
        </w:rPr>
        <w:t xml:space="preserve">, where </w:t>
      </w:r>
      <w:r w:rsidR="00F44584" w:rsidRPr="00A707B9">
        <w:rPr>
          <w:rFonts w:cs="Arial"/>
          <w:szCs w:val="20"/>
          <w:lang w:val="en-GB"/>
        </w:rPr>
        <w:t>speci</w:t>
      </w:r>
      <w:r w:rsidR="00ED1877">
        <w:rPr>
          <w:rFonts w:cs="Arial"/>
          <w:szCs w:val="20"/>
          <w:lang w:val="en-GB"/>
        </w:rPr>
        <w:t>fic</w:t>
      </w:r>
      <w:r w:rsidR="00F44584" w:rsidRPr="00A707B9">
        <w:rPr>
          <w:rFonts w:cs="Arial"/>
          <w:szCs w:val="20"/>
          <w:lang w:val="en-GB"/>
        </w:rPr>
        <w:t xml:space="preserve">ally </w:t>
      </w:r>
      <w:r w:rsidR="00D26317">
        <w:rPr>
          <w:rFonts w:cs="Arial"/>
          <w:b/>
          <w:szCs w:val="20"/>
          <w:lang w:val="en-GB"/>
        </w:rPr>
        <w:t>b</w:t>
      </w:r>
      <w:r w:rsidR="00353B1E" w:rsidRPr="00A707B9">
        <w:rPr>
          <w:rFonts w:cs="Arial"/>
          <w:b/>
          <w:szCs w:val="20"/>
          <w:lang w:val="en-GB"/>
        </w:rPr>
        <w:t>asic CSI feedback</w:t>
      </w:r>
      <w:r w:rsidR="00353B1E" w:rsidRPr="00A707B9">
        <w:rPr>
          <w:rFonts w:cs="Arial"/>
          <w:szCs w:val="20"/>
          <w:lang w:val="en-GB"/>
        </w:rPr>
        <w:t xml:space="preserve"> (2-32) and </w:t>
      </w:r>
      <w:r w:rsidR="00D26317">
        <w:rPr>
          <w:rFonts w:cs="Arial"/>
          <w:b/>
          <w:szCs w:val="20"/>
          <w:lang w:val="en-GB"/>
        </w:rPr>
        <w:t>b</w:t>
      </w:r>
      <w:r w:rsidR="00353B1E" w:rsidRPr="00A707B9">
        <w:rPr>
          <w:rFonts w:cs="Arial"/>
          <w:b/>
          <w:szCs w:val="20"/>
          <w:lang w:val="en-GB"/>
        </w:rPr>
        <w:t>asic SRS</w:t>
      </w:r>
      <w:r w:rsidR="00353B1E" w:rsidRPr="00A707B9">
        <w:rPr>
          <w:rFonts w:cs="Arial"/>
          <w:szCs w:val="20"/>
          <w:lang w:val="en-GB"/>
        </w:rPr>
        <w:t xml:space="preserve"> (2-52)</w:t>
      </w:r>
      <w:r w:rsidR="004759FE">
        <w:rPr>
          <w:rFonts w:cs="Arial"/>
          <w:szCs w:val="20"/>
          <w:lang w:val="en-GB"/>
        </w:rPr>
        <w:t> </w:t>
      </w:r>
      <w:r w:rsidR="004759FE">
        <w:rPr>
          <w:rFonts w:cs="Arial"/>
          <w:szCs w:val="20"/>
          <w:lang w:val="en-GB"/>
        </w:rPr>
        <w:fldChar w:fldCharType="begin"/>
      </w:r>
      <w:r w:rsidR="004759FE">
        <w:rPr>
          <w:rFonts w:cs="Arial"/>
          <w:szCs w:val="20"/>
          <w:lang w:val="en-GB"/>
        </w:rPr>
        <w:instrText xml:space="preserve"> REF _Ref118197917 \r \h </w:instrText>
      </w:r>
      <w:r w:rsidR="004759FE">
        <w:rPr>
          <w:rFonts w:cs="Arial"/>
          <w:szCs w:val="20"/>
          <w:lang w:val="en-GB"/>
        </w:rPr>
      </w:r>
      <w:r w:rsidR="004759FE">
        <w:rPr>
          <w:rFonts w:cs="Arial"/>
          <w:szCs w:val="20"/>
          <w:lang w:val="en-GB"/>
        </w:rPr>
        <w:fldChar w:fldCharType="separate"/>
      </w:r>
      <w:r w:rsidR="00CB6BFE">
        <w:rPr>
          <w:rFonts w:cs="Arial"/>
          <w:szCs w:val="20"/>
          <w:lang w:val="en-GB"/>
        </w:rPr>
        <w:t>[5]</w:t>
      </w:r>
      <w:r w:rsidR="004759FE">
        <w:rPr>
          <w:rFonts w:cs="Arial"/>
          <w:szCs w:val="20"/>
          <w:lang w:val="en-GB"/>
        </w:rPr>
        <w:fldChar w:fldCharType="end"/>
      </w:r>
      <w:r w:rsidR="004759FE">
        <w:rPr>
          <w:rFonts w:cs="Arial"/>
          <w:szCs w:val="20"/>
          <w:lang w:val="en-GB"/>
        </w:rPr>
        <w:t xml:space="preserve"> </w:t>
      </w:r>
      <w:r w:rsidR="00353B1E" w:rsidRPr="00A707B9">
        <w:rPr>
          <w:rFonts w:cs="Arial"/>
          <w:szCs w:val="20"/>
          <w:lang w:val="en-GB"/>
        </w:rPr>
        <w:t>are included</w:t>
      </w:r>
      <w:r w:rsidR="00703B52">
        <w:rPr>
          <w:rFonts w:cs="Arial"/>
          <w:szCs w:val="20"/>
          <w:lang w:val="en-GB"/>
        </w:rPr>
        <w:t>, cf. </w:t>
      </w:r>
      <w:r w:rsidR="00992186">
        <w:rPr>
          <w:rFonts w:cs="Arial"/>
          <w:szCs w:val="20"/>
          <w:lang w:val="en-GB"/>
        </w:rPr>
        <w:fldChar w:fldCharType="begin"/>
      </w:r>
      <w:r w:rsidR="00992186">
        <w:rPr>
          <w:rFonts w:cs="Arial"/>
          <w:szCs w:val="20"/>
          <w:lang w:val="en-GB"/>
        </w:rPr>
        <w:instrText xml:space="preserve"> REF _Ref118278584 \h </w:instrText>
      </w:r>
      <w:r w:rsidR="00992186">
        <w:rPr>
          <w:rFonts w:cs="Arial"/>
          <w:szCs w:val="20"/>
          <w:lang w:val="en-GB"/>
        </w:rPr>
      </w:r>
      <w:r w:rsidR="00992186">
        <w:rPr>
          <w:rFonts w:cs="Arial"/>
          <w:szCs w:val="20"/>
          <w:lang w:val="en-GB"/>
        </w:rPr>
        <w:fldChar w:fldCharType="separate"/>
      </w:r>
      <w:r w:rsidR="00CB6BFE">
        <w:t xml:space="preserve">Table </w:t>
      </w:r>
      <w:r w:rsidR="00CB6BFE">
        <w:rPr>
          <w:noProof/>
        </w:rPr>
        <w:t>1</w:t>
      </w:r>
      <w:r w:rsidR="00992186">
        <w:rPr>
          <w:rFonts w:cs="Arial"/>
          <w:szCs w:val="20"/>
          <w:lang w:val="en-GB"/>
        </w:rPr>
        <w:fldChar w:fldCharType="end"/>
      </w:r>
      <w:r w:rsidR="00353B1E" w:rsidRPr="00A707B9">
        <w:rPr>
          <w:rFonts w:cs="Arial"/>
          <w:szCs w:val="20"/>
          <w:lang w:val="en-GB"/>
        </w:rPr>
        <w:t>.</w:t>
      </w:r>
    </w:p>
    <w:tbl>
      <w:tblPr>
        <w:tblStyle w:val="TableGrid"/>
        <w:tblW w:w="0" w:type="auto"/>
        <w:tblLook w:val="04A0" w:firstRow="1" w:lastRow="0" w:firstColumn="1" w:lastColumn="0" w:noHBand="0" w:noVBand="1"/>
      </w:tblPr>
      <w:tblGrid>
        <w:gridCol w:w="9629"/>
      </w:tblGrid>
      <w:tr w:rsidR="001F4D9C" w14:paraId="5EC2CB52" w14:textId="77777777" w:rsidTr="00810681">
        <w:tc>
          <w:tcPr>
            <w:tcW w:w="9629" w:type="dxa"/>
          </w:tcPr>
          <w:p w14:paraId="4006B857" w14:textId="3DCB5685" w:rsidR="006A071A" w:rsidRPr="00A707B9" w:rsidRDefault="006A071A" w:rsidP="00810681">
            <w:pPr>
              <w:shd w:val="clear" w:color="auto" w:fill="FFFFFF"/>
              <w:spacing w:after="0" w:line="240" w:lineRule="auto"/>
              <w:jc w:val="left"/>
              <w:rPr>
                <w:rFonts w:ascii="Times" w:eastAsia="SimSun" w:hAnsi="Times" w:cs="Times"/>
                <w:b/>
                <w:color w:val="493118"/>
                <w:szCs w:val="20"/>
                <w:highlight w:val="green"/>
                <w:shd w:val="clear" w:color="auto" w:fill="FFFF00"/>
                <w:lang w:val="en-GB" w:eastAsia="zh-CN"/>
              </w:rPr>
            </w:pPr>
            <w:r w:rsidRPr="00A707B9">
              <w:rPr>
                <w:rFonts w:ascii="Times" w:eastAsia="SimSun" w:hAnsi="Times" w:cs="Times"/>
                <w:b/>
                <w:color w:val="493118"/>
                <w:szCs w:val="20"/>
                <w:highlight w:val="green"/>
                <w:lang w:val="en-GB" w:eastAsia="zh-CN"/>
              </w:rPr>
              <w:t>Agreement (RAN1#101-e)</w:t>
            </w:r>
          </w:p>
          <w:p w14:paraId="0BB00823" w14:textId="77777777" w:rsidR="006A071A" w:rsidRPr="001F4D9C" w:rsidRDefault="006A071A" w:rsidP="001F4D9C">
            <w:pPr>
              <w:overflowPunct w:val="0"/>
              <w:autoSpaceDE w:val="0"/>
              <w:autoSpaceDN w:val="0"/>
              <w:adjustRightInd w:val="0"/>
              <w:spacing w:before="60" w:after="60" w:line="288" w:lineRule="auto"/>
              <w:jc w:val="left"/>
              <w:textAlignment w:val="baseline"/>
              <w:rPr>
                <w:rFonts w:ascii="Times" w:eastAsia="Malgun Gothic" w:hAnsi="Times" w:cs="Times"/>
                <w:szCs w:val="20"/>
                <w:lang w:val="en-GB" w:eastAsia="ko-KR"/>
              </w:rPr>
            </w:pPr>
            <w:r w:rsidRPr="001F4D9C">
              <w:rPr>
                <w:rFonts w:ascii="Times" w:eastAsia="Malgun Gothic" w:hAnsi="Times" w:cs="Times"/>
                <w:szCs w:val="20"/>
                <w:lang w:val="en-GB" w:eastAsia="ko-KR"/>
              </w:rPr>
              <w:t>Wide-area IAB-MTs s</w:t>
            </w:r>
            <w:r w:rsidRPr="001F4D9C">
              <w:rPr>
                <w:rFonts w:ascii="Times" w:eastAsia="Malgun Gothic" w:hAnsi="Times" w:cs="Times"/>
                <w:color w:val="000000"/>
                <w:szCs w:val="20"/>
                <w:lang w:val="en-GB" w:eastAsia="ko-KR"/>
              </w:rPr>
              <w:t>upport</w:t>
            </w:r>
            <w:r w:rsidRPr="001F4D9C">
              <w:rPr>
                <w:rFonts w:ascii="Times" w:eastAsia="Malgun Gothic" w:hAnsi="Times" w:cs="Times"/>
                <w:color w:val="FF0000"/>
                <w:szCs w:val="20"/>
                <w:lang w:val="en-GB" w:eastAsia="ko-KR"/>
              </w:rPr>
              <w:t xml:space="preserve"> </w:t>
            </w:r>
            <w:r w:rsidRPr="001F4D9C">
              <w:rPr>
                <w:rFonts w:ascii="Times" w:eastAsia="Malgun Gothic" w:hAnsi="Times" w:cs="Times"/>
                <w:color w:val="000000"/>
                <w:szCs w:val="20"/>
                <w:lang w:val="en-GB" w:eastAsia="ko-KR"/>
              </w:rPr>
              <w:t>the following Rel. 15 layer-1 mandatory UE features (as defined in TR38.822)</w:t>
            </w:r>
          </w:p>
          <w:p w14:paraId="7B34D2B2" w14:textId="77777777" w:rsidR="006A071A" w:rsidRPr="001F4D9C" w:rsidRDefault="006A071A" w:rsidP="001F4D9C">
            <w:pPr>
              <w:numPr>
                <w:ilvl w:val="0"/>
                <w:numId w:val="32"/>
              </w:numPr>
              <w:overflowPunct w:val="0"/>
              <w:autoSpaceDE w:val="0"/>
              <w:autoSpaceDN w:val="0"/>
              <w:adjustRightInd w:val="0"/>
              <w:spacing w:before="60" w:after="60" w:line="288" w:lineRule="auto"/>
              <w:jc w:val="left"/>
              <w:textAlignment w:val="baseline"/>
              <w:rPr>
                <w:rFonts w:ascii="Times" w:eastAsia="Malgun Gothic" w:hAnsi="Times" w:cs="Times"/>
                <w:szCs w:val="20"/>
                <w:lang w:val="en-GB" w:eastAsia="ko-KR"/>
              </w:rPr>
            </w:pPr>
            <w:r w:rsidRPr="001F4D9C">
              <w:rPr>
                <w:rFonts w:ascii="Times" w:eastAsia="Malgun Gothic" w:hAnsi="Times" w:cs="Times"/>
                <w:color w:val="000000"/>
                <w:szCs w:val="20"/>
                <w:lang w:val="en-GB" w:eastAsia="ko-KR"/>
              </w:rPr>
              <w:t xml:space="preserve">Without capability </w:t>
            </w:r>
          </w:p>
          <w:p w14:paraId="3483E868" w14:textId="77777777" w:rsidR="006A071A" w:rsidRPr="001F4D9C" w:rsidRDefault="006A071A" w:rsidP="001F4D9C">
            <w:pPr>
              <w:numPr>
                <w:ilvl w:val="1"/>
                <w:numId w:val="32"/>
              </w:numPr>
              <w:overflowPunct w:val="0"/>
              <w:autoSpaceDE w:val="0"/>
              <w:autoSpaceDN w:val="0"/>
              <w:adjustRightInd w:val="0"/>
              <w:spacing w:before="60" w:after="60" w:line="288" w:lineRule="auto"/>
              <w:jc w:val="left"/>
              <w:textAlignment w:val="baseline"/>
              <w:rPr>
                <w:rFonts w:ascii="Times" w:eastAsia="Malgun Gothic" w:hAnsi="Times" w:cs="Times"/>
                <w:szCs w:val="20"/>
                <w:lang w:val="en-GB" w:eastAsia="ko-KR"/>
              </w:rPr>
            </w:pPr>
            <w:r w:rsidRPr="001F4D9C">
              <w:rPr>
                <w:rFonts w:ascii="Times" w:eastAsia="Malgun Gothic" w:hAnsi="Times" w:cs="Times"/>
                <w:color w:val="000000"/>
                <w:szCs w:val="20"/>
                <w:lang w:val="en-GB" w:eastAsia="ko-KR"/>
              </w:rPr>
              <w:t>0-1, 0-3, 0-4, 1-1 (only 1 preamble for component 1, component 2, component 3 except paging), 2-1, 2-5, 2-6, 2-12, 2-16, 2-16a, 2-32 (only components 1-4 and 7), 2-50 (only components 1,2), 2-52 (only components 1, 2), 3-1 (only components 1,2,3,4,5), 4-1, 5-1 (only components 1/2/3/4/5/6/7/9/10/12), 6-1, 7-1, 8-3</w:t>
            </w:r>
          </w:p>
          <w:p w14:paraId="4377AD6E" w14:textId="77777777" w:rsidR="006A071A" w:rsidRPr="001F4D9C" w:rsidRDefault="006A071A" w:rsidP="001F4D9C">
            <w:pPr>
              <w:numPr>
                <w:ilvl w:val="0"/>
                <w:numId w:val="32"/>
              </w:numPr>
              <w:overflowPunct w:val="0"/>
              <w:autoSpaceDE w:val="0"/>
              <w:autoSpaceDN w:val="0"/>
              <w:adjustRightInd w:val="0"/>
              <w:spacing w:before="60" w:after="60" w:line="288" w:lineRule="auto"/>
              <w:jc w:val="left"/>
              <w:textAlignment w:val="baseline"/>
              <w:rPr>
                <w:rFonts w:ascii="Times" w:eastAsia="Malgun Gothic" w:hAnsi="Times" w:cs="Times"/>
                <w:szCs w:val="20"/>
                <w:lang w:val="en-GB" w:eastAsia="ko-KR"/>
              </w:rPr>
            </w:pPr>
            <w:r w:rsidRPr="001F4D9C">
              <w:rPr>
                <w:rFonts w:ascii="Times" w:eastAsia="Malgun Gothic" w:hAnsi="Times" w:cs="Times"/>
                <w:color w:val="000000"/>
                <w:szCs w:val="20"/>
                <w:lang w:val="en-GB" w:eastAsia="ko-KR"/>
              </w:rPr>
              <w:t xml:space="preserve">With capability </w:t>
            </w:r>
            <w:proofErr w:type="spellStart"/>
            <w:r w:rsidRPr="001F4D9C">
              <w:rPr>
                <w:rFonts w:ascii="Times" w:eastAsia="Malgun Gothic" w:hAnsi="Times" w:cs="Times"/>
                <w:color w:val="000000"/>
                <w:szCs w:val="20"/>
                <w:lang w:val="en-GB" w:eastAsia="ko-KR"/>
              </w:rPr>
              <w:t>signaling</w:t>
            </w:r>
            <w:proofErr w:type="spellEnd"/>
            <w:r w:rsidRPr="001F4D9C">
              <w:rPr>
                <w:rFonts w:ascii="Times" w:eastAsia="Malgun Gothic" w:hAnsi="Times" w:cs="Times"/>
                <w:color w:val="000000"/>
                <w:szCs w:val="20"/>
                <w:lang w:val="en-GB" w:eastAsia="ko-KR"/>
              </w:rPr>
              <w:t xml:space="preserve"> which shall be set to '1'</w:t>
            </w:r>
          </w:p>
          <w:p w14:paraId="61453205" w14:textId="77777777" w:rsidR="006A071A" w:rsidRPr="001F4D9C" w:rsidRDefault="006A071A" w:rsidP="001F4D9C">
            <w:pPr>
              <w:numPr>
                <w:ilvl w:val="1"/>
                <w:numId w:val="32"/>
              </w:numPr>
              <w:overflowPunct w:val="0"/>
              <w:autoSpaceDE w:val="0"/>
              <w:autoSpaceDN w:val="0"/>
              <w:adjustRightInd w:val="0"/>
              <w:spacing w:before="60" w:after="60" w:line="288" w:lineRule="auto"/>
              <w:jc w:val="left"/>
              <w:textAlignment w:val="baseline"/>
              <w:rPr>
                <w:rFonts w:ascii="Times" w:eastAsia="Malgun Gothic" w:hAnsi="Times" w:cs="Times"/>
                <w:szCs w:val="20"/>
                <w:lang w:val="en-GB" w:eastAsia="ko-KR"/>
              </w:rPr>
            </w:pPr>
            <w:r w:rsidRPr="001F4D9C">
              <w:rPr>
                <w:rFonts w:ascii="Times" w:eastAsia="Malgun Gothic" w:hAnsi="Times" w:cs="Times"/>
                <w:color w:val="000000"/>
                <w:szCs w:val="20"/>
                <w:lang w:val="en-GB" w:eastAsia="ko-KR"/>
              </w:rPr>
              <w:t>1-3, 2-22, 4-10</w:t>
            </w:r>
          </w:p>
          <w:p w14:paraId="179EB9B7" w14:textId="77777777" w:rsidR="006A071A" w:rsidRPr="001F4D9C" w:rsidRDefault="006A071A" w:rsidP="005014AB">
            <w:pPr>
              <w:numPr>
                <w:ilvl w:val="0"/>
                <w:numId w:val="32"/>
              </w:numPr>
              <w:overflowPunct w:val="0"/>
              <w:autoSpaceDE w:val="0"/>
              <w:autoSpaceDN w:val="0"/>
              <w:adjustRightInd w:val="0"/>
              <w:spacing w:before="60" w:after="60" w:line="288" w:lineRule="auto"/>
              <w:jc w:val="left"/>
              <w:textAlignment w:val="baseline"/>
              <w:rPr>
                <w:rFonts w:ascii="Times" w:eastAsia="Malgun Gothic" w:hAnsi="Times" w:cs="Times"/>
                <w:szCs w:val="20"/>
                <w:lang w:val="en-GB" w:eastAsia="ko-KR"/>
              </w:rPr>
            </w:pPr>
            <w:r w:rsidRPr="001F4D9C">
              <w:rPr>
                <w:rFonts w:ascii="Times" w:eastAsia="Malgun Gothic" w:hAnsi="Times" w:cs="Times"/>
                <w:color w:val="000000"/>
                <w:sz w:val="21"/>
                <w:szCs w:val="21"/>
                <w:lang w:val="en-GB" w:eastAsia="ko-KR"/>
              </w:rPr>
              <w:t>The rest of Rel-15 layer-1 UE features other than the ones as listed above are optional for wide-area IAB-MTs.</w:t>
            </w:r>
          </w:p>
          <w:p w14:paraId="32759FEE" w14:textId="77777777" w:rsidR="006A071A" w:rsidRPr="001F4D9C" w:rsidRDefault="006A071A" w:rsidP="00AF3127">
            <w:pPr>
              <w:numPr>
                <w:ilvl w:val="0"/>
                <w:numId w:val="32"/>
              </w:numPr>
              <w:overflowPunct w:val="0"/>
              <w:autoSpaceDE w:val="0"/>
              <w:autoSpaceDN w:val="0"/>
              <w:adjustRightInd w:val="0"/>
              <w:spacing w:before="60" w:after="60" w:line="288" w:lineRule="auto"/>
              <w:jc w:val="left"/>
              <w:textAlignment w:val="baseline"/>
              <w:rPr>
                <w:rFonts w:ascii="Times" w:eastAsia="Malgun Gothic" w:hAnsi="Times" w:cs="Times"/>
                <w:szCs w:val="20"/>
                <w:lang w:val="en-GB" w:eastAsia="ko-KR"/>
              </w:rPr>
            </w:pPr>
            <w:r w:rsidRPr="001F4D9C">
              <w:rPr>
                <w:rFonts w:ascii="Times" w:eastAsia="Malgun Gothic" w:hAnsi="Times" w:cs="Times"/>
                <w:color w:val="000000"/>
                <w:sz w:val="21"/>
                <w:szCs w:val="21"/>
                <w:lang w:val="en-GB" w:eastAsia="ko-KR"/>
              </w:rPr>
              <w:t>Note: Mandatory MT capabilities are independent from DU capabilities and do not imply a corresponding mandatory DU capability.</w:t>
            </w:r>
          </w:p>
          <w:p w14:paraId="0F46C77C" w14:textId="06DE958C" w:rsidR="006A071A" w:rsidRPr="00616207" w:rsidRDefault="006A071A" w:rsidP="00B604E1">
            <w:pPr>
              <w:numPr>
                <w:ilvl w:val="0"/>
                <w:numId w:val="32"/>
              </w:numPr>
              <w:overflowPunct w:val="0"/>
              <w:autoSpaceDE w:val="0"/>
              <w:autoSpaceDN w:val="0"/>
              <w:adjustRightInd w:val="0"/>
              <w:spacing w:before="60" w:after="60" w:line="288" w:lineRule="auto"/>
              <w:jc w:val="left"/>
              <w:textAlignment w:val="baseline"/>
              <w:rPr>
                <w:sz w:val="20"/>
                <w:szCs w:val="20"/>
                <w:lang w:val="en-GB"/>
              </w:rPr>
            </w:pPr>
            <w:r w:rsidRPr="001F4D9C">
              <w:rPr>
                <w:rFonts w:ascii="Times" w:eastAsia="Malgun Gothic" w:hAnsi="Times" w:cs="Times"/>
                <w:color w:val="000000"/>
                <w:szCs w:val="20"/>
                <w:lang w:val="en-GB" w:eastAsia="ko-KR"/>
              </w:rPr>
              <w:t>The U</w:t>
            </w:r>
            <w:r w:rsidRPr="001F4D9C">
              <w:rPr>
                <w:rFonts w:ascii="Times" w:eastAsia="Malgun Gothic" w:hAnsi="Times" w:cs="Times"/>
                <w:szCs w:val="20"/>
                <w:lang w:val="en-GB" w:eastAsia="ko-KR"/>
              </w:rPr>
              <w:t>E feature list for local-area IAB</w:t>
            </w:r>
            <w:r w:rsidRPr="001F4D9C">
              <w:rPr>
                <w:rFonts w:ascii="Times" w:eastAsia="Malgun Gothic" w:hAnsi="Times" w:cs="Times"/>
                <w:color w:val="000000"/>
                <w:szCs w:val="20"/>
                <w:lang w:val="en-GB" w:eastAsia="ko-KR"/>
              </w:rPr>
              <w:t>-MTs</w:t>
            </w:r>
            <w:r w:rsidRPr="001F4D9C">
              <w:rPr>
                <w:rFonts w:ascii="Times" w:eastAsia="Malgun Gothic" w:hAnsi="Times" w:cs="Times"/>
                <w:color w:val="FF0000"/>
                <w:szCs w:val="20"/>
                <w:lang w:val="en-GB" w:eastAsia="ko-KR"/>
              </w:rPr>
              <w:t xml:space="preserve"> </w:t>
            </w:r>
            <w:r w:rsidRPr="001F4D9C">
              <w:rPr>
                <w:rFonts w:ascii="Times" w:eastAsia="Malgun Gothic" w:hAnsi="Times" w:cs="Times"/>
                <w:szCs w:val="20"/>
                <w:lang w:val="en-GB" w:eastAsia="ko-KR"/>
              </w:rPr>
              <w:t>is FFS</w:t>
            </w:r>
          </w:p>
        </w:tc>
      </w:tr>
    </w:tbl>
    <w:p w14:paraId="0F1643D0" w14:textId="1411F173" w:rsidR="00703B52" w:rsidRPr="00703B52" w:rsidRDefault="00703B52" w:rsidP="00B604E1">
      <w:pPr>
        <w:spacing w:after="0" w:line="240" w:lineRule="auto"/>
        <w:jc w:val="left"/>
      </w:pPr>
    </w:p>
    <w:p w14:paraId="2C7467A2" w14:textId="23BF760D" w:rsidR="00F87344" w:rsidRDefault="00F87344" w:rsidP="003A3358">
      <w:pPr>
        <w:pStyle w:val="Caption"/>
        <w:keepNext/>
        <w:jc w:val="center"/>
      </w:pPr>
      <w:bookmarkStart w:id="1" w:name="_Ref118278584"/>
      <w:r>
        <w:lastRenderedPageBreak/>
        <w:t xml:space="preserve">Table </w:t>
      </w:r>
      <w:r>
        <w:fldChar w:fldCharType="begin"/>
      </w:r>
      <w:r>
        <w:instrText xml:space="preserve"> SEQ Table \* ARABIC </w:instrText>
      </w:r>
      <w:r>
        <w:fldChar w:fldCharType="separate"/>
      </w:r>
      <w:r w:rsidR="00CB6BFE">
        <w:rPr>
          <w:noProof/>
        </w:rPr>
        <w:t>1</w:t>
      </w:r>
      <w:r>
        <w:fldChar w:fldCharType="end"/>
      </w:r>
      <w:bookmarkEnd w:id="1"/>
      <w:r>
        <w:t xml:space="preserve">: </w:t>
      </w:r>
      <w:r w:rsidRPr="00683598">
        <w:t>Mandatory features for IAB-MT.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3260"/>
        <w:gridCol w:w="1843"/>
        <w:gridCol w:w="1134"/>
        <w:gridCol w:w="1134"/>
      </w:tblGrid>
      <w:tr w:rsidR="000D4A66" w:rsidRPr="007D1E1D" w14:paraId="42F22AA2" w14:textId="7505EDD5" w:rsidTr="001D504B">
        <w:trPr>
          <w:tblHeader/>
          <w:jc w:val="center"/>
        </w:trPr>
        <w:tc>
          <w:tcPr>
            <w:tcW w:w="1980" w:type="dxa"/>
            <w:tcBorders>
              <w:top w:val="single" w:sz="4" w:space="0" w:color="auto"/>
              <w:left w:val="single" w:sz="4" w:space="0" w:color="auto"/>
              <w:bottom w:val="single" w:sz="4" w:space="0" w:color="auto"/>
              <w:right w:val="single" w:sz="4" w:space="0" w:color="auto"/>
            </w:tcBorders>
          </w:tcPr>
          <w:p w14:paraId="0F0BC632" w14:textId="4291C8B9" w:rsidR="000D4A66" w:rsidRPr="007D1E1D" w:rsidRDefault="000D4A66" w:rsidP="00CB7EEE">
            <w:pPr>
              <w:pStyle w:val="Heading3"/>
              <w:numPr>
                <w:ilvl w:val="0"/>
                <w:numId w:val="0"/>
              </w:numPr>
              <w:ind w:left="360" w:hanging="360"/>
            </w:pPr>
            <w:r w:rsidRPr="000C30F3">
              <w:rPr>
                <w:b/>
                <w:sz w:val="18"/>
              </w:rPr>
              <w:t>Features</w:t>
            </w:r>
          </w:p>
        </w:tc>
        <w:tc>
          <w:tcPr>
            <w:tcW w:w="992" w:type="dxa"/>
            <w:tcBorders>
              <w:top w:val="single" w:sz="4" w:space="0" w:color="auto"/>
              <w:left w:val="single" w:sz="4" w:space="0" w:color="auto"/>
              <w:bottom w:val="single" w:sz="4" w:space="0" w:color="auto"/>
              <w:right w:val="single" w:sz="4" w:space="0" w:color="auto"/>
            </w:tcBorders>
          </w:tcPr>
          <w:p w14:paraId="51BF2D5A" w14:textId="77777777" w:rsidR="000D4A66" w:rsidRPr="00A707B9" w:rsidRDefault="000D4A66" w:rsidP="00810681">
            <w:pPr>
              <w:pStyle w:val="TAH"/>
              <w:rPr>
                <w:lang w:val="en-GB"/>
              </w:rPr>
            </w:pPr>
            <w:r w:rsidRPr="00A707B9">
              <w:rPr>
                <w:lang w:val="en-GB"/>
              </w:rPr>
              <w:t>Index</w:t>
            </w:r>
          </w:p>
        </w:tc>
        <w:tc>
          <w:tcPr>
            <w:tcW w:w="3260" w:type="dxa"/>
            <w:tcBorders>
              <w:top w:val="single" w:sz="4" w:space="0" w:color="auto"/>
              <w:left w:val="single" w:sz="4" w:space="0" w:color="auto"/>
              <w:bottom w:val="single" w:sz="4" w:space="0" w:color="auto"/>
              <w:right w:val="single" w:sz="4" w:space="0" w:color="auto"/>
            </w:tcBorders>
          </w:tcPr>
          <w:p w14:paraId="2E3BB096" w14:textId="77777777" w:rsidR="000D4A66" w:rsidRPr="00A707B9" w:rsidRDefault="000D4A66" w:rsidP="00810681">
            <w:pPr>
              <w:pStyle w:val="TAH"/>
              <w:rPr>
                <w:lang w:val="en-GB"/>
              </w:rPr>
            </w:pPr>
            <w:r w:rsidRPr="00A707B9">
              <w:rPr>
                <w:lang w:val="en-GB"/>
              </w:rPr>
              <w:t>Feature group</w:t>
            </w:r>
          </w:p>
        </w:tc>
        <w:tc>
          <w:tcPr>
            <w:tcW w:w="1843" w:type="dxa"/>
            <w:tcBorders>
              <w:top w:val="single" w:sz="4" w:space="0" w:color="auto"/>
              <w:left w:val="single" w:sz="4" w:space="0" w:color="auto"/>
              <w:bottom w:val="single" w:sz="4" w:space="0" w:color="auto"/>
              <w:right w:val="single" w:sz="4" w:space="0" w:color="auto"/>
            </w:tcBorders>
          </w:tcPr>
          <w:p w14:paraId="734E2A3B" w14:textId="2AB5AD7C" w:rsidR="00B56A49" w:rsidRPr="00A707B9" w:rsidRDefault="007C64A2" w:rsidP="00810681">
            <w:pPr>
              <w:pStyle w:val="TAH"/>
              <w:rPr>
                <w:lang w:val="en-GB"/>
              </w:rPr>
            </w:pPr>
            <w:r>
              <w:rPr>
                <w:lang w:val="en-GB"/>
              </w:rPr>
              <w:t>Mandated</w:t>
            </w:r>
            <w:r w:rsidR="00B56A49" w:rsidRPr="00A707B9">
              <w:rPr>
                <w:lang w:val="en-GB"/>
              </w:rPr>
              <w:t xml:space="preserve"> component</w:t>
            </w:r>
          </w:p>
        </w:tc>
        <w:tc>
          <w:tcPr>
            <w:tcW w:w="1134" w:type="dxa"/>
            <w:tcBorders>
              <w:top w:val="single" w:sz="4" w:space="0" w:color="auto"/>
              <w:left w:val="single" w:sz="4" w:space="0" w:color="auto"/>
              <w:bottom w:val="single" w:sz="4" w:space="0" w:color="auto"/>
              <w:right w:val="single" w:sz="4" w:space="0" w:color="auto"/>
            </w:tcBorders>
          </w:tcPr>
          <w:p w14:paraId="5AAAC85F" w14:textId="327CA838" w:rsidR="000D4A66" w:rsidRPr="00A707B9" w:rsidRDefault="000D4A66" w:rsidP="00810681">
            <w:pPr>
              <w:pStyle w:val="TAH"/>
              <w:rPr>
                <w:lang w:val="en-GB"/>
              </w:rPr>
            </w:pPr>
            <w:r w:rsidRPr="00A707B9">
              <w:rPr>
                <w:lang w:val="en-GB"/>
              </w:rPr>
              <w:t>Without capability</w:t>
            </w:r>
          </w:p>
        </w:tc>
        <w:tc>
          <w:tcPr>
            <w:tcW w:w="1134" w:type="dxa"/>
            <w:tcBorders>
              <w:top w:val="single" w:sz="4" w:space="0" w:color="auto"/>
              <w:left w:val="single" w:sz="4" w:space="0" w:color="auto"/>
              <w:bottom w:val="single" w:sz="4" w:space="0" w:color="auto"/>
              <w:right w:val="single" w:sz="4" w:space="0" w:color="auto"/>
            </w:tcBorders>
          </w:tcPr>
          <w:p w14:paraId="7F81EEEC" w14:textId="6E1B837B" w:rsidR="000D4A66" w:rsidRPr="00A707B9" w:rsidRDefault="000D4A66" w:rsidP="00810681">
            <w:pPr>
              <w:pStyle w:val="TAH"/>
              <w:rPr>
                <w:lang w:val="en-GB"/>
              </w:rPr>
            </w:pPr>
            <w:r w:rsidRPr="00A707B9">
              <w:rPr>
                <w:lang w:val="en-GB"/>
              </w:rPr>
              <w:t>With capability</w:t>
            </w:r>
            <w:r w:rsidR="006325F6" w:rsidRPr="00A707B9">
              <w:rPr>
                <w:lang w:val="en-GB"/>
              </w:rPr>
              <w:t xml:space="preserve"> set to 1</w:t>
            </w:r>
          </w:p>
        </w:tc>
      </w:tr>
      <w:tr w:rsidR="000D4A66" w:rsidRPr="007D1E1D" w14:paraId="0D3BBB88" w14:textId="4D83E390" w:rsidTr="001D504B">
        <w:trPr>
          <w:tblHeader/>
          <w:jc w:val="center"/>
        </w:trPr>
        <w:tc>
          <w:tcPr>
            <w:tcW w:w="1980" w:type="dxa"/>
            <w:vMerge w:val="restart"/>
          </w:tcPr>
          <w:p w14:paraId="5F5A4EE8" w14:textId="77777777" w:rsidR="000D4A66" w:rsidRPr="00A707B9" w:rsidRDefault="000D4A66" w:rsidP="001D504B">
            <w:pPr>
              <w:pStyle w:val="TAL"/>
              <w:jc w:val="left"/>
              <w:rPr>
                <w:lang w:val="en-GB"/>
              </w:rPr>
            </w:pPr>
            <w:r w:rsidRPr="00A707B9">
              <w:rPr>
                <w:lang w:val="en-GB"/>
              </w:rPr>
              <w:t>0. Waveform, modulation, subcarrier spacings, and CP</w:t>
            </w:r>
          </w:p>
        </w:tc>
        <w:tc>
          <w:tcPr>
            <w:tcW w:w="992" w:type="dxa"/>
          </w:tcPr>
          <w:p w14:paraId="2692141E" w14:textId="77777777" w:rsidR="000D4A66" w:rsidRPr="00A707B9" w:rsidRDefault="000D4A66" w:rsidP="00810681">
            <w:pPr>
              <w:pStyle w:val="TAL"/>
              <w:rPr>
                <w:lang w:val="en-GB"/>
              </w:rPr>
            </w:pPr>
            <w:r w:rsidRPr="00A707B9">
              <w:rPr>
                <w:lang w:val="en-GB"/>
              </w:rPr>
              <w:t>0-1</w:t>
            </w:r>
          </w:p>
        </w:tc>
        <w:tc>
          <w:tcPr>
            <w:tcW w:w="3260" w:type="dxa"/>
          </w:tcPr>
          <w:p w14:paraId="4D1A83B6" w14:textId="77777777" w:rsidR="000D4A66" w:rsidRPr="00A707B9" w:rsidRDefault="000D4A66" w:rsidP="00810681">
            <w:pPr>
              <w:pStyle w:val="TAL"/>
              <w:rPr>
                <w:lang w:val="en-GB"/>
              </w:rPr>
            </w:pPr>
            <w:r w:rsidRPr="00A707B9">
              <w:rPr>
                <w:lang w:val="en-GB"/>
              </w:rPr>
              <w:t>CP-OFDM waveform for DL and UL</w:t>
            </w:r>
          </w:p>
        </w:tc>
        <w:tc>
          <w:tcPr>
            <w:tcW w:w="1843" w:type="dxa"/>
          </w:tcPr>
          <w:p w14:paraId="4CC52153" w14:textId="77777777" w:rsidR="00B56A49" w:rsidRPr="00A707B9" w:rsidRDefault="00B56A49" w:rsidP="005014AB">
            <w:pPr>
              <w:pStyle w:val="TAL"/>
              <w:jc w:val="center"/>
              <w:rPr>
                <w:lang w:val="en-GB"/>
              </w:rPr>
            </w:pPr>
          </w:p>
        </w:tc>
        <w:tc>
          <w:tcPr>
            <w:tcW w:w="1134" w:type="dxa"/>
          </w:tcPr>
          <w:p w14:paraId="1A979E33" w14:textId="7C1856C1" w:rsidR="000D4A66" w:rsidRPr="00A707B9" w:rsidRDefault="000D4A66" w:rsidP="005014AB">
            <w:pPr>
              <w:pStyle w:val="TAL"/>
              <w:jc w:val="center"/>
              <w:rPr>
                <w:lang w:val="en-GB"/>
              </w:rPr>
            </w:pPr>
            <w:r w:rsidRPr="00A707B9">
              <w:rPr>
                <w:lang w:val="en-GB"/>
              </w:rPr>
              <w:t>Yes</w:t>
            </w:r>
          </w:p>
        </w:tc>
        <w:tc>
          <w:tcPr>
            <w:tcW w:w="1134" w:type="dxa"/>
          </w:tcPr>
          <w:p w14:paraId="57BDE7FF" w14:textId="77777777" w:rsidR="000D4A66" w:rsidRPr="00A707B9" w:rsidRDefault="000D4A66" w:rsidP="005014AB">
            <w:pPr>
              <w:pStyle w:val="TAL"/>
              <w:jc w:val="center"/>
              <w:rPr>
                <w:lang w:val="en-GB"/>
              </w:rPr>
            </w:pPr>
          </w:p>
        </w:tc>
      </w:tr>
      <w:tr w:rsidR="000D4A66" w:rsidRPr="007D1E1D" w14:paraId="5A24913A" w14:textId="18621512" w:rsidTr="001D504B">
        <w:trPr>
          <w:tblHeader/>
          <w:jc w:val="center"/>
        </w:trPr>
        <w:tc>
          <w:tcPr>
            <w:tcW w:w="1980" w:type="dxa"/>
            <w:vMerge/>
          </w:tcPr>
          <w:p w14:paraId="4795FEC9" w14:textId="77777777" w:rsidR="000D4A66" w:rsidRPr="00A707B9" w:rsidRDefault="000D4A66" w:rsidP="00A73B68">
            <w:pPr>
              <w:pStyle w:val="TAL"/>
              <w:jc w:val="left"/>
              <w:rPr>
                <w:lang w:val="en-GB"/>
              </w:rPr>
            </w:pPr>
          </w:p>
        </w:tc>
        <w:tc>
          <w:tcPr>
            <w:tcW w:w="992" w:type="dxa"/>
          </w:tcPr>
          <w:p w14:paraId="605C4F91" w14:textId="77777777" w:rsidR="000D4A66" w:rsidRPr="00A707B9" w:rsidRDefault="000D4A66" w:rsidP="00810681">
            <w:pPr>
              <w:pStyle w:val="TAL"/>
              <w:rPr>
                <w:lang w:val="en-GB"/>
              </w:rPr>
            </w:pPr>
            <w:r w:rsidRPr="00A707B9">
              <w:rPr>
                <w:lang w:val="en-GB"/>
              </w:rPr>
              <w:t>0-3</w:t>
            </w:r>
          </w:p>
        </w:tc>
        <w:tc>
          <w:tcPr>
            <w:tcW w:w="3260" w:type="dxa"/>
          </w:tcPr>
          <w:p w14:paraId="506552C1" w14:textId="77777777" w:rsidR="000D4A66" w:rsidRPr="00A707B9" w:rsidRDefault="000D4A66" w:rsidP="00810681">
            <w:pPr>
              <w:pStyle w:val="TAL"/>
              <w:rPr>
                <w:lang w:val="en-GB"/>
              </w:rPr>
            </w:pPr>
            <w:r w:rsidRPr="00A707B9">
              <w:rPr>
                <w:lang w:val="en-GB"/>
              </w:rPr>
              <w:t>DL modulation scheme</w:t>
            </w:r>
          </w:p>
        </w:tc>
        <w:tc>
          <w:tcPr>
            <w:tcW w:w="1843" w:type="dxa"/>
          </w:tcPr>
          <w:p w14:paraId="13D9CDC1" w14:textId="77777777" w:rsidR="00B56A49" w:rsidRPr="00A707B9" w:rsidRDefault="00B56A49" w:rsidP="005014AB">
            <w:pPr>
              <w:pStyle w:val="TAL"/>
              <w:jc w:val="center"/>
              <w:rPr>
                <w:lang w:val="en-GB"/>
              </w:rPr>
            </w:pPr>
          </w:p>
        </w:tc>
        <w:tc>
          <w:tcPr>
            <w:tcW w:w="1134" w:type="dxa"/>
          </w:tcPr>
          <w:p w14:paraId="6A38E235" w14:textId="6E5A28BD" w:rsidR="000D4A66" w:rsidRPr="00A707B9" w:rsidRDefault="000D4A66" w:rsidP="005014AB">
            <w:pPr>
              <w:pStyle w:val="TAL"/>
              <w:jc w:val="center"/>
              <w:rPr>
                <w:lang w:val="en-GB"/>
              </w:rPr>
            </w:pPr>
            <w:r w:rsidRPr="00A707B9">
              <w:rPr>
                <w:lang w:val="en-GB"/>
              </w:rPr>
              <w:t>Yes</w:t>
            </w:r>
          </w:p>
        </w:tc>
        <w:tc>
          <w:tcPr>
            <w:tcW w:w="1134" w:type="dxa"/>
          </w:tcPr>
          <w:p w14:paraId="05CF0C90" w14:textId="77777777" w:rsidR="000D4A66" w:rsidRPr="00A707B9" w:rsidRDefault="000D4A66" w:rsidP="005014AB">
            <w:pPr>
              <w:pStyle w:val="TAL"/>
              <w:jc w:val="center"/>
              <w:rPr>
                <w:lang w:val="en-GB"/>
              </w:rPr>
            </w:pPr>
          </w:p>
        </w:tc>
      </w:tr>
      <w:tr w:rsidR="00F115EE" w:rsidRPr="007D1E1D" w14:paraId="37474E2D" w14:textId="1D0EADC3" w:rsidTr="001D504B">
        <w:trPr>
          <w:tblHeader/>
          <w:jc w:val="center"/>
        </w:trPr>
        <w:tc>
          <w:tcPr>
            <w:tcW w:w="1980" w:type="dxa"/>
            <w:vMerge/>
          </w:tcPr>
          <w:p w14:paraId="47E4331D" w14:textId="77777777" w:rsidR="000D4A66" w:rsidRPr="00A707B9" w:rsidRDefault="000D4A66" w:rsidP="00A73B68">
            <w:pPr>
              <w:pStyle w:val="TAL"/>
              <w:jc w:val="left"/>
              <w:rPr>
                <w:lang w:val="en-GB"/>
              </w:rPr>
            </w:pPr>
          </w:p>
        </w:tc>
        <w:tc>
          <w:tcPr>
            <w:tcW w:w="992" w:type="dxa"/>
          </w:tcPr>
          <w:p w14:paraId="1889BF99" w14:textId="77777777" w:rsidR="000D4A66" w:rsidRPr="00A707B9" w:rsidRDefault="000D4A66" w:rsidP="00810681">
            <w:pPr>
              <w:pStyle w:val="TAL"/>
              <w:rPr>
                <w:lang w:val="en-GB"/>
              </w:rPr>
            </w:pPr>
            <w:r w:rsidRPr="00A707B9">
              <w:rPr>
                <w:lang w:val="en-GB"/>
              </w:rPr>
              <w:t>0-4</w:t>
            </w:r>
          </w:p>
        </w:tc>
        <w:tc>
          <w:tcPr>
            <w:tcW w:w="3260" w:type="dxa"/>
            <w:tcBorders>
              <w:top w:val="single" w:sz="4" w:space="0" w:color="auto"/>
              <w:bottom w:val="single" w:sz="4" w:space="0" w:color="auto"/>
              <w:right w:val="single" w:sz="4" w:space="0" w:color="auto"/>
            </w:tcBorders>
          </w:tcPr>
          <w:p w14:paraId="7787FECF" w14:textId="77777777" w:rsidR="000D4A66" w:rsidRPr="00A707B9" w:rsidRDefault="000D4A66" w:rsidP="00810681">
            <w:pPr>
              <w:pStyle w:val="TAL"/>
              <w:rPr>
                <w:lang w:val="en-GB"/>
              </w:rPr>
            </w:pPr>
            <w:r w:rsidRPr="00A707B9">
              <w:rPr>
                <w:lang w:val="en-GB"/>
              </w:rPr>
              <w:t>UL modulation scheme</w:t>
            </w:r>
          </w:p>
        </w:tc>
        <w:tc>
          <w:tcPr>
            <w:tcW w:w="1843" w:type="dxa"/>
            <w:tcBorders>
              <w:top w:val="single" w:sz="4" w:space="0" w:color="auto"/>
              <w:bottom w:val="single" w:sz="4" w:space="0" w:color="auto"/>
            </w:tcBorders>
          </w:tcPr>
          <w:p w14:paraId="766BAE9F" w14:textId="77777777" w:rsidR="00B56A49" w:rsidRPr="00A707B9" w:rsidRDefault="00B56A49" w:rsidP="005014AB">
            <w:pPr>
              <w:pStyle w:val="TAL"/>
              <w:jc w:val="center"/>
              <w:rPr>
                <w:lang w:val="en-GB"/>
              </w:rPr>
            </w:pPr>
          </w:p>
        </w:tc>
        <w:tc>
          <w:tcPr>
            <w:tcW w:w="1134" w:type="dxa"/>
            <w:tcBorders>
              <w:top w:val="single" w:sz="4" w:space="0" w:color="auto"/>
              <w:bottom w:val="single" w:sz="4" w:space="0" w:color="auto"/>
              <w:right w:val="single" w:sz="4" w:space="0" w:color="auto"/>
            </w:tcBorders>
          </w:tcPr>
          <w:p w14:paraId="0FD9E4F6" w14:textId="6B67566E"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bottom w:val="single" w:sz="4" w:space="0" w:color="auto"/>
              <w:right w:val="single" w:sz="4" w:space="0" w:color="auto"/>
            </w:tcBorders>
          </w:tcPr>
          <w:p w14:paraId="572CC637" w14:textId="77777777" w:rsidR="000D4A66" w:rsidRPr="00A707B9" w:rsidRDefault="000D4A66" w:rsidP="005014AB">
            <w:pPr>
              <w:pStyle w:val="TAL"/>
              <w:jc w:val="center"/>
              <w:rPr>
                <w:lang w:val="en-GB"/>
              </w:rPr>
            </w:pPr>
          </w:p>
        </w:tc>
      </w:tr>
      <w:tr w:rsidR="00F115EE" w:rsidRPr="007D1E1D" w14:paraId="2E7E6F71" w14:textId="198B20B1" w:rsidTr="001D504B">
        <w:trPr>
          <w:tblHeader/>
          <w:jc w:val="center"/>
        </w:trPr>
        <w:tc>
          <w:tcPr>
            <w:tcW w:w="1980" w:type="dxa"/>
            <w:vMerge w:val="restart"/>
            <w:tcBorders>
              <w:top w:val="single" w:sz="4" w:space="0" w:color="auto"/>
              <w:left w:val="single" w:sz="4" w:space="0" w:color="auto"/>
              <w:right w:val="single" w:sz="4" w:space="0" w:color="auto"/>
            </w:tcBorders>
          </w:tcPr>
          <w:p w14:paraId="458EDB4E" w14:textId="77777777" w:rsidR="000D4A66" w:rsidRPr="00A707B9" w:rsidRDefault="000D4A66" w:rsidP="001D504B">
            <w:pPr>
              <w:pStyle w:val="TAL"/>
              <w:jc w:val="left"/>
              <w:rPr>
                <w:lang w:val="en-GB"/>
              </w:rPr>
            </w:pPr>
            <w:r w:rsidRPr="00A707B9">
              <w:rPr>
                <w:lang w:val="en-GB"/>
              </w:rPr>
              <w:t>1. Initial access and mobility</w:t>
            </w:r>
          </w:p>
        </w:tc>
        <w:tc>
          <w:tcPr>
            <w:tcW w:w="992" w:type="dxa"/>
            <w:tcBorders>
              <w:top w:val="single" w:sz="4" w:space="0" w:color="auto"/>
              <w:left w:val="single" w:sz="4" w:space="0" w:color="auto"/>
              <w:bottom w:val="single" w:sz="4" w:space="0" w:color="auto"/>
              <w:right w:val="single" w:sz="4" w:space="0" w:color="auto"/>
            </w:tcBorders>
          </w:tcPr>
          <w:p w14:paraId="148019B4" w14:textId="77777777" w:rsidR="000D4A66" w:rsidRPr="00A707B9" w:rsidRDefault="000D4A66" w:rsidP="000D4A66">
            <w:pPr>
              <w:pStyle w:val="TAL"/>
              <w:rPr>
                <w:lang w:val="en-GB"/>
              </w:rPr>
            </w:pPr>
            <w:r w:rsidRPr="00A707B9">
              <w:rPr>
                <w:lang w:val="en-GB"/>
              </w:rPr>
              <w:t>1-1</w:t>
            </w:r>
          </w:p>
        </w:tc>
        <w:tc>
          <w:tcPr>
            <w:tcW w:w="3260" w:type="dxa"/>
            <w:tcBorders>
              <w:top w:val="single" w:sz="4" w:space="0" w:color="auto"/>
              <w:left w:val="single" w:sz="4" w:space="0" w:color="auto"/>
              <w:bottom w:val="single" w:sz="4" w:space="0" w:color="auto"/>
              <w:right w:val="single" w:sz="4" w:space="0" w:color="auto"/>
            </w:tcBorders>
          </w:tcPr>
          <w:p w14:paraId="1166C41E" w14:textId="77777777" w:rsidR="000D4A66" w:rsidRPr="00A707B9" w:rsidRDefault="000D4A66" w:rsidP="000D4A66">
            <w:pPr>
              <w:pStyle w:val="TAL"/>
              <w:rPr>
                <w:lang w:val="en-GB"/>
              </w:rPr>
            </w:pPr>
            <w:r w:rsidRPr="00A707B9">
              <w:rPr>
                <w:lang w:val="en-GB"/>
              </w:rPr>
              <w:t>Basic initial access channels and procedures</w:t>
            </w:r>
          </w:p>
        </w:tc>
        <w:tc>
          <w:tcPr>
            <w:tcW w:w="1843" w:type="dxa"/>
            <w:tcBorders>
              <w:top w:val="single" w:sz="4" w:space="0" w:color="auto"/>
              <w:left w:val="single" w:sz="4" w:space="0" w:color="auto"/>
              <w:bottom w:val="single" w:sz="4" w:space="0" w:color="auto"/>
              <w:right w:val="single" w:sz="4" w:space="0" w:color="auto"/>
            </w:tcBorders>
          </w:tcPr>
          <w:p w14:paraId="653F5C41" w14:textId="7664ADCB" w:rsidR="00B56A49" w:rsidRPr="00A707B9" w:rsidRDefault="00B56A49">
            <w:pPr>
              <w:pStyle w:val="TAL"/>
              <w:jc w:val="left"/>
              <w:rPr>
                <w:lang w:val="en-GB"/>
              </w:rPr>
            </w:pPr>
            <w:r w:rsidRPr="00A707B9">
              <w:rPr>
                <w:lang w:val="en-GB"/>
              </w:rPr>
              <w:t>1 preamble for component 1, component 2, component 3 except paging</w:t>
            </w:r>
          </w:p>
        </w:tc>
        <w:tc>
          <w:tcPr>
            <w:tcW w:w="1134" w:type="dxa"/>
            <w:tcBorders>
              <w:top w:val="single" w:sz="4" w:space="0" w:color="auto"/>
              <w:left w:val="single" w:sz="4" w:space="0" w:color="auto"/>
              <w:bottom w:val="single" w:sz="4" w:space="0" w:color="auto"/>
              <w:right w:val="single" w:sz="4" w:space="0" w:color="auto"/>
            </w:tcBorders>
          </w:tcPr>
          <w:p w14:paraId="4C80247B" w14:textId="2AB7B8F5"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0971F521" w14:textId="77777777" w:rsidR="000D4A66" w:rsidRPr="00A707B9" w:rsidRDefault="000D4A66" w:rsidP="005014AB">
            <w:pPr>
              <w:pStyle w:val="TAL"/>
              <w:jc w:val="center"/>
              <w:rPr>
                <w:lang w:val="en-GB"/>
              </w:rPr>
            </w:pPr>
          </w:p>
        </w:tc>
      </w:tr>
      <w:tr w:rsidR="00F115EE" w:rsidRPr="007D1E1D" w14:paraId="0EBC4EBA" w14:textId="7E5D4EA5" w:rsidTr="001D504B">
        <w:trPr>
          <w:tblHeader/>
          <w:jc w:val="center"/>
        </w:trPr>
        <w:tc>
          <w:tcPr>
            <w:tcW w:w="1980" w:type="dxa"/>
            <w:vMerge/>
            <w:tcBorders>
              <w:left w:val="single" w:sz="4" w:space="0" w:color="auto"/>
              <w:bottom w:val="single" w:sz="4" w:space="0" w:color="auto"/>
              <w:right w:val="single" w:sz="4" w:space="0" w:color="auto"/>
            </w:tcBorders>
          </w:tcPr>
          <w:p w14:paraId="438612E6" w14:textId="77777777" w:rsidR="000D4A66" w:rsidRPr="00A707B9" w:rsidRDefault="000D4A66" w:rsidP="00A73B68">
            <w:pPr>
              <w:pStyle w:val="TAL"/>
              <w:jc w:val="left"/>
              <w:rPr>
                <w:lang w:val="en-GB"/>
              </w:rPr>
            </w:pPr>
          </w:p>
        </w:tc>
        <w:tc>
          <w:tcPr>
            <w:tcW w:w="992" w:type="dxa"/>
            <w:tcBorders>
              <w:top w:val="single" w:sz="4" w:space="0" w:color="auto"/>
              <w:left w:val="single" w:sz="4" w:space="0" w:color="auto"/>
              <w:bottom w:val="single" w:sz="4" w:space="0" w:color="auto"/>
              <w:right w:val="single" w:sz="4" w:space="0" w:color="auto"/>
            </w:tcBorders>
          </w:tcPr>
          <w:p w14:paraId="098FDB06" w14:textId="77777777" w:rsidR="000D4A66" w:rsidRPr="00A707B9" w:rsidRDefault="000D4A66" w:rsidP="000D4A66">
            <w:pPr>
              <w:pStyle w:val="TAL"/>
              <w:rPr>
                <w:lang w:val="en-GB"/>
              </w:rPr>
            </w:pPr>
            <w:r w:rsidRPr="00A707B9">
              <w:rPr>
                <w:lang w:val="en-GB"/>
              </w:rPr>
              <w:t>1-3</w:t>
            </w:r>
          </w:p>
        </w:tc>
        <w:tc>
          <w:tcPr>
            <w:tcW w:w="3260" w:type="dxa"/>
            <w:tcBorders>
              <w:top w:val="single" w:sz="4" w:space="0" w:color="auto"/>
              <w:left w:val="single" w:sz="4" w:space="0" w:color="auto"/>
              <w:bottom w:val="single" w:sz="4" w:space="0" w:color="auto"/>
              <w:right w:val="single" w:sz="4" w:space="0" w:color="auto"/>
            </w:tcBorders>
          </w:tcPr>
          <w:p w14:paraId="6ED22402" w14:textId="77777777" w:rsidR="000D4A66" w:rsidRPr="00A707B9" w:rsidRDefault="000D4A66" w:rsidP="000D4A66">
            <w:pPr>
              <w:pStyle w:val="TAL"/>
              <w:rPr>
                <w:lang w:val="en-GB"/>
              </w:rPr>
            </w:pPr>
            <w:r w:rsidRPr="00A707B9">
              <w:rPr>
                <w:lang w:val="en-GB"/>
              </w:rPr>
              <w:t>SS block based RLM</w:t>
            </w:r>
          </w:p>
        </w:tc>
        <w:tc>
          <w:tcPr>
            <w:tcW w:w="1843" w:type="dxa"/>
            <w:tcBorders>
              <w:top w:val="single" w:sz="4" w:space="0" w:color="auto"/>
              <w:left w:val="single" w:sz="4" w:space="0" w:color="auto"/>
              <w:bottom w:val="single" w:sz="4" w:space="0" w:color="auto"/>
              <w:right w:val="single" w:sz="4" w:space="0" w:color="auto"/>
            </w:tcBorders>
          </w:tcPr>
          <w:p w14:paraId="39BA790D" w14:textId="77777777" w:rsidR="00B56A49" w:rsidRPr="00A707B9" w:rsidRDefault="00B56A49"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57D3F869" w14:textId="3A4665C1" w:rsidR="000D4A66" w:rsidRPr="00A707B9" w:rsidRDefault="000D4A66"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5C9EFC96" w14:textId="542DB383" w:rsidR="000D4A66" w:rsidRPr="00A707B9" w:rsidRDefault="000D4A66" w:rsidP="005014AB">
            <w:pPr>
              <w:pStyle w:val="TAL"/>
              <w:jc w:val="center"/>
              <w:rPr>
                <w:lang w:val="en-GB"/>
              </w:rPr>
            </w:pPr>
            <w:r w:rsidRPr="00A707B9">
              <w:rPr>
                <w:lang w:val="en-GB"/>
              </w:rPr>
              <w:t>Yes</w:t>
            </w:r>
          </w:p>
        </w:tc>
      </w:tr>
      <w:tr w:rsidR="00F115EE" w:rsidRPr="007D1E1D" w14:paraId="0D32C457" w14:textId="7423832E" w:rsidTr="001D504B">
        <w:trPr>
          <w:tblHeader/>
          <w:jc w:val="center"/>
        </w:trPr>
        <w:tc>
          <w:tcPr>
            <w:tcW w:w="1980" w:type="dxa"/>
            <w:vMerge w:val="restart"/>
            <w:tcBorders>
              <w:top w:val="single" w:sz="4" w:space="0" w:color="auto"/>
              <w:left w:val="single" w:sz="4" w:space="0" w:color="auto"/>
              <w:right w:val="single" w:sz="4" w:space="0" w:color="auto"/>
            </w:tcBorders>
          </w:tcPr>
          <w:p w14:paraId="6924DB8F" w14:textId="77777777" w:rsidR="000D4A66" w:rsidRPr="00A707B9" w:rsidRDefault="000D4A66" w:rsidP="001D504B">
            <w:pPr>
              <w:pStyle w:val="TAL"/>
              <w:jc w:val="left"/>
              <w:rPr>
                <w:lang w:val="en-GB"/>
              </w:rPr>
            </w:pPr>
            <w:r w:rsidRPr="00A707B9">
              <w:rPr>
                <w:lang w:val="en-GB"/>
              </w:rPr>
              <w:t>2. MIMO</w:t>
            </w:r>
          </w:p>
        </w:tc>
        <w:tc>
          <w:tcPr>
            <w:tcW w:w="992" w:type="dxa"/>
            <w:tcBorders>
              <w:top w:val="single" w:sz="4" w:space="0" w:color="auto"/>
              <w:left w:val="single" w:sz="4" w:space="0" w:color="auto"/>
              <w:right w:val="single" w:sz="4" w:space="0" w:color="auto"/>
            </w:tcBorders>
          </w:tcPr>
          <w:p w14:paraId="4607DA4F" w14:textId="77777777" w:rsidR="000D4A66" w:rsidRPr="00A707B9" w:rsidRDefault="000D4A66" w:rsidP="000D4A66">
            <w:pPr>
              <w:pStyle w:val="TAL"/>
              <w:rPr>
                <w:lang w:val="en-GB"/>
              </w:rPr>
            </w:pPr>
            <w:r w:rsidRPr="00A707B9">
              <w:rPr>
                <w:lang w:val="en-GB"/>
              </w:rPr>
              <w:t>2-1</w:t>
            </w:r>
          </w:p>
        </w:tc>
        <w:tc>
          <w:tcPr>
            <w:tcW w:w="3260" w:type="dxa"/>
            <w:tcBorders>
              <w:top w:val="single" w:sz="4" w:space="0" w:color="auto"/>
              <w:left w:val="single" w:sz="4" w:space="0" w:color="auto"/>
              <w:bottom w:val="single" w:sz="4" w:space="0" w:color="auto"/>
              <w:right w:val="single" w:sz="4" w:space="0" w:color="auto"/>
            </w:tcBorders>
          </w:tcPr>
          <w:p w14:paraId="364EEEFA" w14:textId="77777777" w:rsidR="000D4A66" w:rsidRPr="00A707B9" w:rsidRDefault="000D4A66" w:rsidP="000D4A66">
            <w:pPr>
              <w:pStyle w:val="TAL"/>
              <w:rPr>
                <w:lang w:val="en-GB"/>
              </w:rPr>
            </w:pPr>
            <w:r w:rsidRPr="00A707B9">
              <w:rPr>
                <w:lang w:val="en-GB"/>
              </w:rPr>
              <w:t>Basic PDSCH reception</w:t>
            </w:r>
          </w:p>
        </w:tc>
        <w:tc>
          <w:tcPr>
            <w:tcW w:w="1843" w:type="dxa"/>
            <w:tcBorders>
              <w:top w:val="single" w:sz="4" w:space="0" w:color="auto"/>
              <w:left w:val="single" w:sz="4" w:space="0" w:color="auto"/>
              <w:bottom w:val="single" w:sz="4" w:space="0" w:color="auto"/>
              <w:right w:val="single" w:sz="4" w:space="0" w:color="auto"/>
            </w:tcBorders>
          </w:tcPr>
          <w:p w14:paraId="3983263C" w14:textId="77777777" w:rsidR="00B56A49" w:rsidRPr="00A707B9" w:rsidRDefault="00B56A49"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1281B088" w14:textId="7B34F40A"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116C6D01" w14:textId="77777777" w:rsidR="000D4A66" w:rsidRPr="00A707B9" w:rsidRDefault="000D4A66" w:rsidP="005014AB">
            <w:pPr>
              <w:pStyle w:val="TAL"/>
              <w:jc w:val="center"/>
              <w:rPr>
                <w:lang w:val="en-GB"/>
              </w:rPr>
            </w:pPr>
          </w:p>
        </w:tc>
      </w:tr>
      <w:tr w:rsidR="00F115EE" w:rsidRPr="007D1E1D" w14:paraId="674AB524" w14:textId="77A61ED1" w:rsidTr="001D504B">
        <w:trPr>
          <w:tblHeader/>
          <w:jc w:val="center"/>
        </w:trPr>
        <w:tc>
          <w:tcPr>
            <w:tcW w:w="1980" w:type="dxa"/>
            <w:vMerge/>
            <w:tcBorders>
              <w:left w:val="single" w:sz="4" w:space="0" w:color="auto"/>
              <w:right w:val="single" w:sz="4" w:space="0" w:color="auto"/>
            </w:tcBorders>
          </w:tcPr>
          <w:p w14:paraId="6FA2F713" w14:textId="77777777" w:rsidR="000D4A66" w:rsidRPr="00A707B9" w:rsidRDefault="000D4A66" w:rsidP="00A73B68">
            <w:pPr>
              <w:pStyle w:val="TAL"/>
              <w:jc w:val="left"/>
              <w:rPr>
                <w:lang w:val="en-GB"/>
              </w:rPr>
            </w:pPr>
          </w:p>
        </w:tc>
        <w:tc>
          <w:tcPr>
            <w:tcW w:w="992" w:type="dxa"/>
            <w:tcBorders>
              <w:left w:val="single" w:sz="4" w:space="0" w:color="auto"/>
              <w:right w:val="single" w:sz="4" w:space="0" w:color="auto"/>
            </w:tcBorders>
          </w:tcPr>
          <w:p w14:paraId="59ED79F4" w14:textId="77777777" w:rsidR="000D4A66" w:rsidRPr="00A707B9" w:rsidRDefault="000D4A66" w:rsidP="000D4A66">
            <w:pPr>
              <w:pStyle w:val="TAL"/>
              <w:rPr>
                <w:lang w:val="en-GB"/>
              </w:rPr>
            </w:pPr>
            <w:r w:rsidRPr="00A707B9">
              <w:rPr>
                <w:lang w:val="en-GB"/>
              </w:rPr>
              <w:t>2-5</w:t>
            </w:r>
          </w:p>
        </w:tc>
        <w:tc>
          <w:tcPr>
            <w:tcW w:w="3260" w:type="dxa"/>
            <w:tcBorders>
              <w:top w:val="single" w:sz="4" w:space="0" w:color="auto"/>
              <w:left w:val="single" w:sz="4" w:space="0" w:color="auto"/>
              <w:bottom w:val="single" w:sz="4" w:space="0" w:color="auto"/>
              <w:right w:val="single" w:sz="4" w:space="0" w:color="auto"/>
            </w:tcBorders>
          </w:tcPr>
          <w:p w14:paraId="066C6EC5" w14:textId="77777777" w:rsidR="000D4A66" w:rsidRPr="00A707B9" w:rsidRDefault="000D4A66" w:rsidP="000D4A66">
            <w:pPr>
              <w:pStyle w:val="TAL"/>
              <w:rPr>
                <w:lang w:val="en-GB"/>
              </w:rPr>
            </w:pPr>
            <w:r w:rsidRPr="00A707B9">
              <w:rPr>
                <w:lang w:val="en-GB"/>
              </w:rPr>
              <w:t>Basic downlink DMRS</w:t>
            </w:r>
          </w:p>
          <w:p w14:paraId="08E228FA" w14:textId="77777777" w:rsidR="000D4A66" w:rsidRPr="00A707B9" w:rsidRDefault="000D4A66" w:rsidP="000D4A66">
            <w:pPr>
              <w:pStyle w:val="TAL"/>
              <w:rPr>
                <w:lang w:val="en-GB"/>
              </w:rPr>
            </w:pPr>
            <w:r w:rsidRPr="00A707B9">
              <w:rPr>
                <w:lang w:val="en-GB"/>
              </w:rPr>
              <w:t xml:space="preserve">for scheduling </w:t>
            </w:r>
            <w:proofErr w:type="gramStart"/>
            <w:r w:rsidRPr="00A707B9">
              <w:rPr>
                <w:lang w:val="en-GB"/>
              </w:rPr>
              <w:t>type</w:t>
            </w:r>
            <w:proofErr w:type="gramEnd"/>
            <w:r w:rsidRPr="00A707B9">
              <w:rPr>
                <w:lang w:val="en-GB"/>
              </w:rPr>
              <w:t xml:space="preserve"> A</w:t>
            </w:r>
          </w:p>
        </w:tc>
        <w:tc>
          <w:tcPr>
            <w:tcW w:w="1843" w:type="dxa"/>
            <w:tcBorders>
              <w:top w:val="single" w:sz="4" w:space="0" w:color="auto"/>
              <w:left w:val="single" w:sz="4" w:space="0" w:color="auto"/>
              <w:bottom w:val="single" w:sz="4" w:space="0" w:color="auto"/>
              <w:right w:val="single" w:sz="4" w:space="0" w:color="auto"/>
            </w:tcBorders>
          </w:tcPr>
          <w:p w14:paraId="24FCA62A" w14:textId="77777777" w:rsidR="00B56A49" w:rsidRPr="00A707B9" w:rsidRDefault="00B56A49"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54959D66" w14:textId="52EE8F4F"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3AF9344F" w14:textId="77777777" w:rsidR="000D4A66" w:rsidRPr="00A707B9" w:rsidRDefault="000D4A66" w:rsidP="005014AB">
            <w:pPr>
              <w:pStyle w:val="TAL"/>
              <w:jc w:val="center"/>
              <w:rPr>
                <w:lang w:val="en-GB"/>
              </w:rPr>
            </w:pPr>
          </w:p>
        </w:tc>
      </w:tr>
      <w:tr w:rsidR="00F115EE" w:rsidRPr="000C30F3" w14:paraId="134E838E" w14:textId="57E421E7" w:rsidTr="001D504B">
        <w:trPr>
          <w:tblHeader/>
          <w:jc w:val="center"/>
        </w:trPr>
        <w:tc>
          <w:tcPr>
            <w:tcW w:w="1980" w:type="dxa"/>
            <w:vMerge/>
            <w:tcBorders>
              <w:left w:val="single" w:sz="4" w:space="0" w:color="auto"/>
              <w:right w:val="single" w:sz="4" w:space="0" w:color="auto"/>
            </w:tcBorders>
          </w:tcPr>
          <w:p w14:paraId="38141A5E" w14:textId="77777777" w:rsidR="000D4A66" w:rsidRPr="00A707B9" w:rsidRDefault="000D4A66" w:rsidP="00A73B68">
            <w:pPr>
              <w:pStyle w:val="TAL"/>
              <w:jc w:val="left"/>
              <w:rPr>
                <w:lang w:val="en-GB"/>
              </w:rPr>
            </w:pPr>
          </w:p>
        </w:tc>
        <w:tc>
          <w:tcPr>
            <w:tcW w:w="992" w:type="dxa"/>
            <w:tcBorders>
              <w:left w:val="single" w:sz="4" w:space="0" w:color="auto"/>
              <w:right w:val="single" w:sz="4" w:space="0" w:color="auto"/>
            </w:tcBorders>
          </w:tcPr>
          <w:p w14:paraId="76445E63" w14:textId="77777777" w:rsidR="000D4A66" w:rsidRPr="00A707B9" w:rsidRDefault="000D4A66" w:rsidP="000D4A66">
            <w:pPr>
              <w:pStyle w:val="TAL"/>
              <w:rPr>
                <w:lang w:val="en-GB"/>
              </w:rPr>
            </w:pPr>
            <w:r w:rsidRPr="00A707B9">
              <w:rPr>
                <w:lang w:val="en-GB"/>
              </w:rPr>
              <w:t>2-6</w:t>
            </w:r>
          </w:p>
        </w:tc>
        <w:tc>
          <w:tcPr>
            <w:tcW w:w="3260" w:type="dxa"/>
            <w:tcBorders>
              <w:top w:val="single" w:sz="4" w:space="0" w:color="auto"/>
              <w:left w:val="single" w:sz="4" w:space="0" w:color="auto"/>
              <w:bottom w:val="single" w:sz="4" w:space="0" w:color="auto"/>
              <w:right w:val="single" w:sz="4" w:space="0" w:color="auto"/>
            </w:tcBorders>
          </w:tcPr>
          <w:p w14:paraId="37E5FECA" w14:textId="77777777" w:rsidR="000D4A66" w:rsidRPr="00A707B9" w:rsidRDefault="000D4A66" w:rsidP="000D4A66">
            <w:pPr>
              <w:pStyle w:val="TAL"/>
              <w:rPr>
                <w:lang w:val="en-GB"/>
              </w:rPr>
            </w:pPr>
            <w:r w:rsidRPr="00A707B9">
              <w:rPr>
                <w:lang w:val="en-GB"/>
              </w:rPr>
              <w:t>Basic downlink DMRS</w:t>
            </w:r>
          </w:p>
          <w:p w14:paraId="0D6C6AEB" w14:textId="77777777" w:rsidR="000D4A66" w:rsidRPr="00A707B9" w:rsidRDefault="000D4A66" w:rsidP="000D4A66">
            <w:pPr>
              <w:pStyle w:val="TAL"/>
              <w:rPr>
                <w:lang w:val="en-GB"/>
              </w:rPr>
            </w:pPr>
            <w:r w:rsidRPr="00A707B9">
              <w:rPr>
                <w:lang w:val="en-GB"/>
              </w:rPr>
              <w:t>for scheduling type B</w:t>
            </w:r>
          </w:p>
        </w:tc>
        <w:tc>
          <w:tcPr>
            <w:tcW w:w="1843" w:type="dxa"/>
            <w:tcBorders>
              <w:top w:val="single" w:sz="4" w:space="0" w:color="auto"/>
              <w:left w:val="single" w:sz="4" w:space="0" w:color="auto"/>
              <w:bottom w:val="single" w:sz="4" w:space="0" w:color="auto"/>
              <w:right w:val="single" w:sz="4" w:space="0" w:color="auto"/>
            </w:tcBorders>
          </w:tcPr>
          <w:p w14:paraId="7B23F886" w14:textId="77777777" w:rsidR="00B56A49" w:rsidRPr="00A707B9" w:rsidRDefault="00B56A49"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6AC521EE" w14:textId="637E30D3"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65F580D2" w14:textId="77777777" w:rsidR="000D4A66" w:rsidRPr="00A707B9" w:rsidRDefault="000D4A66" w:rsidP="005014AB">
            <w:pPr>
              <w:pStyle w:val="TAL"/>
              <w:jc w:val="center"/>
              <w:rPr>
                <w:lang w:val="en-GB"/>
              </w:rPr>
            </w:pPr>
          </w:p>
        </w:tc>
      </w:tr>
      <w:tr w:rsidR="00F115EE" w:rsidRPr="007D1E1D" w14:paraId="292563AA" w14:textId="7E148408" w:rsidTr="001D504B">
        <w:trPr>
          <w:tblHeader/>
          <w:jc w:val="center"/>
        </w:trPr>
        <w:tc>
          <w:tcPr>
            <w:tcW w:w="1980" w:type="dxa"/>
            <w:vMerge/>
            <w:tcBorders>
              <w:left w:val="single" w:sz="4" w:space="0" w:color="auto"/>
              <w:right w:val="single" w:sz="4" w:space="0" w:color="auto"/>
            </w:tcBorders>
          </w:tcPr>
          <w:p w14:paraId="46198B51" w14:textId="77777777" w:rsidR="000D4A66" w:rsidRPr="00A707B9" w:rsidRDefault="000D4A66" w:rsidP="00A73B68">
            <w:pPr>
              <w:pStyle w:val="TAL"/>
              <w:jc w:val="left"/>
              <w:rPr>
                <w:lang w:val="en-GB"/>
              </w:rPr>
            </w:pPr>
          </w:p>
        </w:tc>
        <w:tc>
          <w:tcPr>
            <w:tcW w:w="992" w:type="dxa"/>
            <w:tcBorders>
              <w:left w:val="single" w:sz="4" w:space="0" w:color="auto"/>
              <w:right w:val="single" w:sz="4" w:space="0" w:color="auto"/>
            </w:tcBorders>
          </w:tcPr>
          <w:p w14:paraId="5D028D1F" w14:textId="77777777" w:rsidR="000D4A66" w:rsidRPr="00A707B9" w:rsidRDefault="000D4A66" w:rsidP="000D4A66">
            <w:pPr>
              <w:pStyle w:val="TAL"/>
              <w:rPr>
                <w:lang w:val="en-GB"/>
              </w:rPr>
            </w:pPr>
            <w:r w:rsidRPr="00A707B9">
              <w:rPr>
                <w:lang w:val="en-GB"/>
              </w:rPr>
              <w:t>2-12</w:t>
            </w:r>
          </w:p>
        </w:tc>
        <w:tc>
          <w:tcPr>
            <w:tcW w:w="3260" w:type="dxa"/>
            <w:tcBorders>
              <w:top w:val="single" w:sz="4" w:space="0" w:color="auto"/>
              <w:left w:val="single" w:sz="4" w:space="0" w:color="auto"/>
              <w:bottom w:val="single" w:sz="4" w:space="0" w:color="auto"/>
              <w:right w:val="single" w:sz="4" w:space="0" w:color="auto"/>
            </w:tcBorders>
          </w:tcPr>
          <w:p w14:paraId="45ECD147" w14:textId="77777777" w:rsidR="000D4A66" w:rsidRPr="00A707B9" w:rsidRDefault="000D4A66" w:rsidP="000D4A66">
            <w:pPr>
              <w:pStyle w:val="TAL"/>
              <w:rPr>
                <w:lang w:val="en-GB"/>
              </w:rPr>
            </w:pPr>
            <w:r w:rsidRPr="00A707B9">
              <w:rPr>
                <w:lang w:val="en-GB"/>
              </w:rPr>
              <w:t>Basic PUSCH transmission</w:t>
            </w:r>
          </w:p>
        </w:tc>
        <w:tc>
          <w:tcPr>
            <w:tcW w:w="1843" w:type="dxa"/>
            <w:tcBorders>
              <w:top w:val="single" w:sz="4" w:space="0" w:color="auto"/>
              <w:left w:val="single" w:sz="4" w:space="0" w:color="auto"/>
              <w:bottom w:val="single" w:sz="4" w:space="0" w:color="auto"/>
              <w:right w:val="single" w:sz="4" w:space="0" w:color="auto"/>
            </w:tcBorders>
          </w:tcPr>
          <w:p w14:paraId="4463D888" w14:textId="77777777" w:rsidR="00B56A49" w:rsidRPr="00A707B9" w:rsidRDefault="00B56A49"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29C5440B" w14:textId="15284175"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741A217C" w14:textId="77777777" w:rsidR="000D4A66" w:rsidRPr="00A707B9" w:rsidRDefault="000D4A66" w:rsidP="005014AB">
            <w:pPr>
              <w:pStyle w:val="TAL"/>
              <w:jc w:val="center"/>
              <w:rPr>
                <w:lang w:val="en-GB"/>
              </w:rPr>
            </w:pPr>
          </w:p>
        </w:tc>
      </w:tr>
      <w:tr w:rsidR="00F115EE" w:rsidRPr="007D1E1D" w14:paraId="32994DB7" w14:textId="1DF93FD0" w:rsidTr="001D504B">
        <w:trPr>
          <w:tblHeader/>
          <w:jc w:val="center"/>
        </w:trPr>
        <w:tc>
          <w:tcPr>
            <w:tcW w:w="1980" w:type="dxa"/>
            <w:vMerge/>
            <w:tcBorders>
              <w:left w:val="single" w:sz="4" w:space="0" w:color="auto"/>
              <w:right w:val="single" w:sz="4" w:space="0" w:color="auto"/>
            </w:tcBorders>
          </w:tcPr>
          <w:p w14:paraId="1A6D468E" w14:textId="77777777" w:rsidR="000D4A66" w:rsidRPr="00A707B9" w:rsidRDefault="000D4A66" w:rsidP="00A73B68">
            <w:pPr>
              <w:pStyle w:val="TAL"/>
              <w:jc w:val="left"/>
              <w:rPr>
                <w:lang w:val="en-GB"/>
              </w:rPr>
            </w:pPr>
          </w:p>
        </w:tc>
        <w:tc>
          <w:tcPr>
            <w:tcW w:w="992" w:type="dxa"/>
            <w:tcBorders>
              <w:left w:val="single" w:sz="4" w:space="0" w:color="auto"/>
              <w:right w:val="single" w:sz="4" w:space="0" w:color="auto"/>
            </w:tcBorders>
          </w:tcPr>
          <w:p w14:paraId="6D38683C" w14:textId="77777777" w:rsidR="000D4A66" w:rsidRPr="00A707B9" w:rsidRDefault="000D4A66" w:rsidP="000D4A66">
            <w:pPr>
              <w:pStyle w:val="TAL"/>
              <w:rPr>
                <w:lang w:val="en-GB"/>
              </w:rPr>
            </w:pPr>
            <w:r w:rsidRPr="00A707B9">
              <w:rPr>
                <w:lang w:val="en-GB"/>
              </w:rPr>
              <w:t>2-16</w:t>
            </w:r>
          </w:p>
        </w:tc>
        <w:tc>
          <w:tcPr>
            <w:tcW w:w="3260" w:type="dxa"/>
            <w:tcBorders>
              <w:top w:val="single" w:sz="4" w:space="0" w:color="auto"/>
              <w:left w:val="single" w:sz="4" w:space="0" w:color="auto"/>
              <w:bottom w:val="single" w:sz="4" w:space="0" w:color="auto"/>
              <w:right w:val="single" w:sz="4" w:space="0" w:color="auto"/>
            </w:tcBorders>
          </w:tcPr>
          <w:p w14:paraId="2803BDE9" w14:textId="77777777" w:rsidR="000D4A66" w:rsidRPr="00A707B9" w:rsidRDefault="000D4A66" w:rsidP="000D4A66">
            <w:pPr>
              <w:pStyle w:val="TAL"/>
              <w:rPr>
                <w:lang w:val="en-GB"/>
              </w:rPr>
            </w:pPr>
            <w:r w:rsidRPr="00A707B9">
              <w:rPr>
                <w:lang w:val="en-GB"/>
              </w:rPr>
              <w:t>Basic uplink DMRS (uplink) for scheduling type A</w:t>
            </w:r>
          </w:p>
        </w:tc>
        <w:tc>
          <w:tcPr>
            <w:tcW w:w="1843" w:type="dxa"/>
            <w:tcBorders>
              <w:top w:val="single" w:sz="4" w:space="0" w:color="auto"/>
              <w:left w:val="single" w:sz="4" w:space="0" w:color="auto"/>
              <w:bottom w:val="single" w:sz="4" w:space="0" w:color="auto"/>
              <w:right w:val="single" w:sz="4" w:space="0" w:color="auto"/>
            </w:tcBorders>
          </w:tcPr>
          <w:p w14:paraId="1F40648E" w14:textId="77777777" w:rsidR="00B56A49" w:rsidRPr="00A707B9" w:rsidRDefault="00B56A49"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5A10A4F4" w14:textId="34BBAF49"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7E11D1C5" w14:textId="77777777" w:rsidR="000D4A66" w:rsidRPr="00A707B9" w:rsidRDefault="000D4A66" w:rsidP="005014AB">
            <w:pPr>
              <w:pStyle w:val="TAL"/>
              <w:jc w:val="center"/>
              <w:rPr>
                <w:lang w:val="en-GB"/>
              </w:rPr>
            </w:pPr>
          </w:p>
        </w:tc>
      </w:tr>
      <w:tr w:rsidR="00F115EE" w:rsidRPr="007D1E1D" w14:paraId="5EB69078" w14:textId="46F5A060" w:rsidTr="001D504B">
        <w:trPr>
          <w:tblHeader/>
          <w:jc w:val="center"/>
        </w:trPr>
        <w:tc>
          <w:tcPr>
            <w:tcW w:w="1980" w:type="dxa"/>
            <w:vMerge/>
            <w:tcBorders>
              <w:left w:val="single" w:sz="4" w:space="0" w:color="auto"/>
              <w:right w:val="single" w:sz="4" w:space="0" w:color="auto"/>
            </w:tcBorders>
          </w:tcPr>
          <w:p w14:paraId="3E47368E" w14:textId="77777777" w:rsidR="000D4A66" w:rsidRPr="00A707B9" w:rsidRDefault="000D4A66" w:rsidP="00A73B68">
            <w:pPr>
              <w:pStyle w:val="TAL"/>
              <w:jc w:val="left"/>
              <w:rPr>
                <w:lang w:val="en-GB"/>
              </w:rPr>
            </w:pPr>
          </w:p>
        </w:tc>
        <w:tc>
          <w:tcPr>
            <w:tcW w:w="992" w:type="dxa"/>
            <w:tcBorders>
              <w:left w:val="single" w:sz="4" w:space="0" w:color="auto"/>
              <w:right w:val="single" w:sz="4" w:space="0" w:color="auto"/>
            </w:tcBorders>
          </w:tcPr>
          <w:p w14:paraId="4D04AD97" w14:textId="77777777" w:rsidR="000D4A66" w:rsidRPr="00A707B9" w:rsidRDefault="000D4A66" w:rsidP="000D4A66">
            <w:pPr>
              <w:pStyle w:val="TAL"/>
              <w:rPr>
                <w:lang w:val="en-GB"/>
              </w:rPr>
            </w:pPr>
            <w:r w:rsidRPr="00A707B9">
              <w:rPr>
                <w:lang w:val="en-GB"/>
              </w:rPr>
              <w:t>2-16a</w:t>
            </w:r>
          </w:p>
        </w:tc>
        <w:tc>
          <w:tcPr>
            <w:tcW w:w="3260" w:type="dxa"/>
            <w:tcBorders>
              <w:top w:val="single" w:sz="4" w:space="0" w:color="auto"/>
              <w:left w:val="single" w:sz="4" w:space="0" w:color="auto"/>
              <w:bottom w:val="single" w:sz="4" w:space="0" w:color="auto"/>
              <w:right w:val="single" w:sz="4" w:space="0" w:color="auto"/>
            </w:tcBorders>
          </w:tcPr>
          <w:p w14:paraId="4784690D" w14:textId="77777777" w:rsidR="000D4A66" w:rsidRPr="00A707B9" w:rsidRDefault="000D4A66" w:rsidP="000D4A66">
            <w:pPr>
              <w:pStyle w:val="TAL"/>
              <w:rPr>
                <w:lang w:val="en-GB"/>
              </w:rPr>
            </w:pPr>
            <w:r w:rsidRPr="00A707B9">
              <w:rPr>
                <w:lang w:val="en-GB"/>
              </w:rPr>
              <w:t>Basic uplink DMRS</w:t>
            </w:r>
          </w:p>
          <w:p w14:paraId="3DBEE07A" w14:textId="77777777" w:rsidR="000D4A66" w:rsidRPr="00A707B9" w:rsidRDefault="000D4A66" w:rsidP="000D4A66">
            <w:pPr>
              <w:pStyle w:val="TAL"/>
              <w:rPr>
                <w:lang w:val="en-GB"/>
              </w:rPr>
            </w:pPr>
            <w:r w:rsidRPr="00A707B9">
              <w:rPr>
                <w:lang w:val="en-GB"/>
              </w:rPr>
              <w:t>for scheduling type B</w:t>
            </w:r>
          </w:p>
        </w:tc>
        <w:tc>
          <w:tcPr>
            <w:tcW w:w="1843" w:type="dxa"/>
            <w:tcBorders>
              <w:top w:val="single" w:sz="4" w:space="0" w:color="auto"/>
              <w:left w:val="single" w:sz="4" w:space="0" w:color="auto"/>
              <w:bottom w:val="single" w:sz="4" w:space="0" w:color="auto"/>
              <w:right w:val="single" w:sz="4" w:space="0" w:color="auto"/>
            </w:tcBorders>
          </w:tcPr>
          <w:p w14:paraId="7F414E3A" w14:textId="77777777" w:rsidR="00B56A49" w:rsidRPr="00A707B9" w:rsidRDefault="00B56A49"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362F8B3B" w14:textId="3AD101DD"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58166A5A" w14:textId="77777777" w:rsidR="000D4A66" w:rsidRPr="00A707B9" w:rsidRDefault="000D4A66" w:rsidP="005014AB">
            <w:pPr>
              <w:pStyle w:val="TAL"/>
              <w:jc w:val="center"/>
              <w:rPr>
                <w:lang w:val="en-GB"/>
              </w:rPr>
            </w:pPr>
          </w:p>
        </w:tc>
      </w:tr>
      <w:tr w:rsidR="00F115EE" w:rsidRPr="007D1E1D" w14:paraId="0553C0A7" w14:textId="5E220827" w:rsidTr="001D504B">
        <w:trPr>
          <w:tblHeader/>
          <w:jc w:val="center"/>
        </w:trPr>
        <w:tc>
          <w:tcPr>
            <w:tcW w:w="1980" w:type="dxa"/>
            <w:vMerge/>
            <w:tcBorders>
              <w:left w:val="single" w:sz="4" w:space="0" w:color="auto"/>
              <w:right w:val="single" w:sz="4" w:space="0" w:color="auto"/>
            </w:tcBorders>
          </w:tcPr>
          <w:p w14:paraId="1CD137DE" w14:textId="77777777" w:rsidR="000D4A66" w:rsidRPr="00A707B9" w:rsidRDefault="000D4A66" w:rsidP="00A73B68">
            <w:pPr>
              <w:pStyle w:val="TAL"/>
              <w:jc w:val="left"/>
              <w:rPr>
                <w:lang w:val="en-GB"/>
              </w:rPr>
            </w:pPr>
          </w:p>
        </w:tc>
        <w:tc>
          <w:tcPr>
            <w:tcW w:w="992" w:type="dxa"/>
            <w:tcBorders>
              <w:left w:val="single" w:sz="4" w:space="0" w:color="auto"/>
              <w:right w:val="single" w:sz="4" w:space="0" w:color="auto"/>
            </w:tcBorders>
          </w:tcPr>
          <w:p w14:paraId="2159052F" w14:textId="77777777" w:rsidR="000D4A66" w:rsidRPr="00A707B9" w:rsidRDefault="000D4A66" w:rsidP="000D4A66">
            <w:pPr>
              <w:pStyle w:val="TAL"/>
              <w:rPr>
                <w:lang w:val="en-GB"/>
              </w:rPr>
            </w:pPr>
            <w:r w:rsidRPr="00A707B9">
              <w:rPr>
                <w:lang w:val="en-GB"/>
              </w:rPr>
              <w:t>2-22</w:t>
            </w:r>
          </w:p>
        </w:tc>
        <w:tc>
          <w:tcPr>
            <w:tcW w:w="3260" w:type="dxa"/>
            <w:tcBorders>
              <w:top w:val="single" w:sz="4" w:space="0" w:color="auto"/>
              <w:left w:val="single" w:sz="4" w:space="0" w:color="auto"/>
              <w:bottom w:val="single" w:sz="4" w:space="0" w:color="auto"/>
              <w:right w:val="single" w:sz="4" w:space="0" w:color="auto"/>
            </w:tcBorders>
          </w:tcPr>
          <w:p w14:paraId="6F28A520" w14:textId="77777777" w:rsidR="000D4A66" w:rsidRPr="00A707B9" w:rsidRDefault="000D4A66" w:rsidP="000D4A66">
            <w:pPr>
              <w:pStyle w:val="TAL"/>
              <w:rPr>
                <w:lang w:val="en-GB"/>
              </w:rPr>
            </w:pPr>
            <w:r w:rsidRPr="00A707B9">
              <w:rPr>
                <w:lang w:val="en-GB"/>
              </w:rPr>
              <w:t>Aperiodic beam report</w:t>
            </w:r>
          </w:p>
        </w:tc>
        <w:tc>
          <w:tcPr>
            <w:tcW w:w="1843" w:type="dxa"/>
            <w:tcBorders>
              <w:top w:val="single" w:sz="4" w:space="0" w:color="auto"/>
              <w:left w:val="single" w:sz="4" w:space="0" w:color="auto"/>
              <w:bottom w:val="single" w:sz="4" w:space="0" w:color="auto"/>
              <w:right w:val="single" w:sz="4" w:space="0" w:color="auto"/>
            </w:tcBorders>
          </w:tcPr>
          <w:p w14:paraId="7CAA1BCE" w14:textId="77777777" w:rsidR="00B56A49" w:rsidRPr="00A707B9" w:rsidRDefault="00B56A49"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1F9F08A8" w14:textId="56EDD250" w:rsidR="000D4A66" w:rsidRPr="00A707B9" w:rsidRDefault="000D4A66"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5A9F9E20" w14:textId="31477007" w:rsidR="000D4A66" w:rsidRPr="00A707B9" w:rsidRDefault="000D4A66" w:rsidP="005014AB">
            <w:pPr>
              <w:pStyle w:val="TAL"/>
              <w:jc w:val="center"/>
              <w:rPr>
                <w:lang w:val="en-GB"/>
              </w:rPr>
            </w:pPr>
            <w:r w:rsidRPr="00A707B9">
              <w:rPr>
                <w:lang w:val="en-GB"/>
              </w:rPr>
              <w:t>Yes</w:t>
            </w:r>
          </w:p>
        </w:tc>
      </w:tr>
      <w:tr w:rsidR="00F115EE" w:rsidRPr="007D1E1D" w14:paraId="67D40BBD" w14:textId="08A808CC" w:rsidTr="001D504B">
        <w:trPr>
          <w:tblHeader/>
          <w:jc w:val="center"/>
        </w:trPr>
        <w:tc>
          <w:tcPr>
            <w:tcW w:w="1980" w:type="dxa"/>
            <w:vMerge/>
            <w:tcBorders>
              <w:left w:val="single" w:sz="4" w:space="0" w:color="auto"/>
              <w:right w:val="single" w:sz="4" w:space="0" w:color="auto"/>
            </w:tcBorders>
          </w:tcPr>
          <w:p w14:paraId="79127C3D" w14:textId="77777777" w:rsidR="000D4A66" w:rsidRPr="00A707B9" w:rsidRDefault="000D4A66" w:rsidP="00A73B68">
            <w:pPr>
              <w:pStyle w:val="TAL"/>
              <w:jc w:val="left"/>
              <w:rPr>
                <w:lang w:val="en-GB"/>
              </w:rPr>
            </w:pPr>
          </w:p>
        </w:tc>
        <w:tc>
          <w:tcPr>
            <w:tcW w:w="992" w:type="dxa"/>
            <w:tcBorders>
              <w:left w:val="single" w:sz="4" w:space="0" w:color="auto"/>
              <w:right w:val="single" w:sz="4" w:space="0" w:color="auto"/>
            </w:tcBorders>
          </w:tcPr>
          <w:p w14:paraId="55352B7E" w14:textId="77777777" w:rsidR="000D4A66" w:rsidRPr="00A707B9" w:rsidRDefault="000D4A66" w:rsidP="000D4A66">
            <w:pPr>
              <w:pStyle w:val="TAL"/>
              <w:rPr>
                <w:lang w:val="en-GB"/>
              </w:rPr>
            </w:pPr>
            <w:r w:rsidRPr="00A707B9">
              <w:rPr>
                <w:lang w:val="en-GB"/>
              </w:rPr>
              <w:t>2-32</w:t>
            </w:r>
          </w:p>
        </w:tc>
        <w:tc>
          <w:tcPr>
            <w:tcW w:w="3260" w:type="dxa"/>
            <w:tcBorders>
              <w:top w:val="single" w:sz="4" w:space="0" w:color="auto"/>
              <w:left w:val="single" w:sz="4" w:space="0" w:color="auto"/>
              <w:bottom w:val="single" w:sz="4" w:space="0" w:color="auto"/>
              <w:right w:val="single" w:sz="4" w:space="0" w:color="auto"/>
            </w:tcBorders>
          </w:tcPr>
          <w:p w14:paraId="73D25A03" w14:textId="77777777" w:rsidR="000D4A66" w:rsidRPr="00A707B9" w:rsidRDefault="000D4A66" w:rsidP="000D4A66">
            <w:pPr>
              <w:pStyle w:val="TAL"/>
              <w:rPr>
                <w:lang w:val="en-GB"/>
              </w:rPr>
            </w:pPr>
            <w:r w:rsidRPr="00A707B9">
              <w:rPr>
                <w:lang w:val="en-GB"/>
              </w:rPr>
              <w:t>Basic CSI feedback</w:t>
            </w:r>
          </w:p>
        </w:tc>
        <w:tc>
          <w:tcPr>
            <w:tcW w:w="1843" w:type="dxa"/>
            <w:tcBorders>
              <w:top w:val="single" w:sz="4" w:space="0" w:color="auto"/>
              <w:left w:val="single" w:sz="4" w:space="0" w:color="auto"/>
              <w:bottom w:val="single" w:sz="4" w:space="0" w:color="auto"/>
              <w:right w:val="single" w:sz="4" w:space="0" w:color="auto"/>
            </w:tcBorders>
          </w:tcPr>
          <w:p w14:paraId="2CA9BAFB" w14:textId="0F6C2BA1" w:rsidR="00B56A49" w:rsidRPr="00A707B9" w:rsidRDefault="00B56A49">
            <w:pPr>
              <w:pStyle w:val="TAL"/>
              <w:jc w:val="left"/>
              <w:rPr>
                <w:lang w:val="en-GB"/>
              </w:rPr>
            </w:pPr>
            <w:r w:rsidRPr="00A707B9">
              <w:rPr>
                <w:lang w:val="en-GB"/>
              </w:rPr>
              <w:t>component 1-4 and 7</w:t>
            </w:r>
          </w:p>
        </w:tc>
        <w:tc>
          <w:tcPr>
            <w:tcW w:w="1134" w:type="dxa"/>
            <w:tcBorders>
              <w:top w:val="single" w:sz="4" w:space="0" w:color="auto"/>
              <w:left w:val="single" w:sz="4" w:space="0" w:color="auto"/>
              <w:bottom w:val="single" w:sz="4" w:space="0" w:color="auto"/>
              <w:right w:val="single" w:sz="4" w:space="0" w:color="auto"/>
            </w:tcBorders>
          </w:tcPr>
          <w:p w14:paraId="746A6602" w14:textId="4159CA11"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31661DB4" w14:textId="77777777" w:rsidR="000D4A66" w:rsidRPr="00A707B9" w:rsidRDefault="000D4A66" w:rsidP="005014AB">
            <w:pPr>
              <w:pStyle w:val="TAL"/>
              <w:jc w:val="center"/>
              <w:rPr>
                <w:lang w:val="en-GB"/>
              </w:rPr>
            </w:pPr>
          </w:p>
        </w:tc>
      </w:tr>
      <w:tr w:rsidR="00F115EE" w:rsidRPr="007D1E1D" w14:paraId="48C1AD82" w14:textId="0038E48C" w:rsidTr="001D504B">
        <w:trPr>
          <w:tblHeader/>
          <w:jc w:val="center"/>
        </w:trPr>
        <w:tc>
          <w:tcPr>
            <w:tcW w:w="1980" w:type="dxa"/>
            <w:vMerge/>
            <w:tcBorders>
              <w:left w:val="single" w:sz="4" w:space="0" w:color="auto"/>
              <w:right w:val="single" w:sz="4" w:space="0" w:color="auto"/>
            </w:tcBorders>
          </w:tcPr>
          <w:p w14:paraId="4CD34C2B" w14:textId="77777777" w:rsidR="000D4A66" w:rsidRPr="00A707B9" w:rsidRDefault="000D4A66" w:rsidP="00A73B68">
            <w:pPr>
              <w:pStyle w:val="TAL"/>
              <w:jc w:val="left"/>
              <w:rPr>
                <w:lang w:val="en-GB"/>
              </w:rPr>
            </w:pPr>
          </w:p>
        </w:tc>
        <w:tc>
          <w:tcPr>
            <w:tcW w:w="992" w:type="dxa"/>
            <w:tcBorders>
              <w:left w:val="single" w:sz="4" w:space="0" w:color="auto"/>
              <w:right w:val="single" w:sz="4" w:space="0" w:color="auto"/>
            </w:tcBorders>
          </w:tcPr>
          <w:p w14:paraId="611DE6C9" w14:textId="77777777" w:rsidR="000D4A66" w:rsidRPr="00A707B9" w:rsidRDefault="000D4A66" w:rsidP="000D4A66">
            <w:pPr>
              <w:pStyle w:val="TAL"/>
              <w:rPr>
                <w:lang w:val="en-GB"/>
              </w:rPr>
            </w:pPr>
            <w:r w:rsidRPr="00A707B9">
              <w:rPr>
                <w:lang w:val="en-GB"/>
              </w:rPr>
              <w:t>2-50</w:t>
            </w:r>
          </w:p>
        </w:tc>
        <w:tc>
          <w:tcPr>
            <w:tcW w:w="3260" w:type="dxa"/>
            <w:tcBorders>
              <w:top w:val="single" w:sz="4" w:space="0" w:color="auto"/>
              <w:left w:val="single" w:sz="4" w:space="0" w:color="auto"/>
              <w:bottom w:val="single" w:sz="4" w:space="0" w:color="auto"/>
              <w:right w:val="single" w:sz="4" w:space="0" w:color="auto"/>
            </w:tcBorders>
          </w:tcPr>
          <w:p w14:paraId="532B8CB4" w14:textId="77777777" w:rsidR="000D4A66" w:rsidRPr="00A707B9" w:rsidRDefault="000D4A66" w:rsidP="000D4A66">
            <w:pPr>
              <w:pStyle w:val="TAL"/>
              <w:rPr>
                <w:lang w:val="en-GB"/>
              </w:rPr>
            </w:pPr>
            <w:r w:rsidRPr="00A707B9">
              <w:rPr>
                <w:lang w:val="en-GB"/>
              </w:rPr>
              <w:t>Basic TRS</w:t>
            </w:r>
          </w:p>
        </w:tc>
        <w:tc>
          <w:tcPr>
            <w:tcW w:w="1843" w:type="dxa"/>
            <w:tcBorders>
              <w:top w:val="single" w:sz="4" w:space="0" w:color="auto"/>
              <w:left w:val="single" w:sz="4" w:space="0" w:color="auto"/>
              <w:bottom w:val="single" w:sz="4" w:space="0" w:color="auto"/>
              <w:right w:val="single" w:sz="4" w:space="0" w:color="auto"/>
            </w:tcBorders>
          </w:tcPr>
          <w:p w14:paraId="4797D3C2" w14:textId="43D272AA" w:rsidR="00B56A49" w:rsidRPr="00A707B9" w:rsidRDefault="00B56A49">
            <w:pPr>
              <w:pStyle w:val="TAL"/>
              <w:jc w:val="left"/>
              <w:rPr>
                <w:lang w:val="en-GB"/>
              </w:rPr>
            </w:pPr>
            <w:r w:rsidRPr="00A707B9">
              <w:rPr>
                <w:lang w:val="en-GB"/>
              </w:rPr>
              <w:t>components 1,2</w:t>
            </w:r>
          </w:p>
        </w:tc>
        <w:tc>
          <w:tcPr>
            <w:tcW w:w="1134" w:type="dxa"/>
            <w:tcBorders>
              <w:top w:val="single" w:sz="4" w:space="0" w:color="auto"/>
              <w:left w:val="single" w:sz="4" w:space="0" w:color="auto"/>
              <w:bottom w:val="single" w:sz="4" w:space="0" w:color="auto"/>
              <w:right w:val="single" w:sz="4" w:space="0" w:color="auto"/>
            </w:tcBorders>
          </w:tcPr>
          <w:p w14:paraId="69EE58C7" w14:textId="272EC066"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21A485EF" w14:textId="77777777" w:rsidR="000D4A66" w:rsidRPr="00A707B9" w:rsidRDefault="000D4A66" w:rsidP="005014AB">
            <w:pPr>
              <w:pStyle w:val="TAL"/>
              <w:jc w:val="center"/>
              <w:rPr>
                <w:lang w:val="en-GB"/>
              </w:rPr>
            </w:pPr>
          </w:p>
        </w:tc>
      </w:tr>
      <w:tr w:rsidR="00F115EE" w:rsidRPr="007D1E1D" w14:paraId="6861C174" w14:textId="198FE82F" w:rsidTr="001D504B">
        <w:trPr>
          <w:tblHeader/>
          <w:jc w:val="center"/>
        </w:trPr>
        <w:tc>
          <w:tcPr>
            <w:tcW w:w="1980" w:type="dxa"/>
            <w:vMerge/>
            <w:tcBorders>
              <w:left w:val="single" w:sz="4" w:space="0" w:color="auto"/>
              <w:bottom w:val="single" w:sz="4" w:space="0" w:color="auto"/>
              <w:right w:val="single" w:sz="4" w:space="0" w:color="auto"/>
            </w:tcBorders>
          </w:tcPr>
          <w:p w14:paraId="492A1F14" w14:textId="77777777" w:rsidR="000D4A66" w:rsidRPr="00A707B9" w:rsidRDefault="000D4A66" w:rsidP="00A73B68">
            <w:pPr>
              <w:pStyle w:val="TAL"/>
              <w:jc w:val="left"/>
              <w:rPr>
                <w:lang w:val="en-GB"/>
              </w:rPr>
            </w:pPr>
          </w:p>
        </w:tc>
        <w:tc>
          <w:tcPr>
            <w:tcW w:w="992" w:type="dxa"/>
            <w:tcBorders>
              <w:left w:val="single" w:sz="4" w:space="0" w:color="auto"/>
              <w:right w:val="single" w:sz="4" w:space="0" w:color="auto"/>
            </w:tcBorders>
          </w:tcPr>
          <w:p w14:paraId="6FF72DB6" w14:textId="77777777" w:rsidR="000D4A66" w:rsidRPr="00A707B9" w:rsidRDefault="000D4A66" w:rsidP="000D4A66">
            <w:pPr>
              <w:pStyle w:val="TAL"/>
              <w:rPr>
                <w:lang w:val="en-GB"/>
              </w:rPr>
            </w:pPr>
            <w:r w:rsidRPr="00A707B9">
              <w:rPr>
                <w:lang w:val="en-GB"/>
              </w:rPr>
              <w:t>2-52</w:t>
            </w:r>
          </w:p>
        </w:tc>
        <w:tc>
          <w:tcPr>
            <w:tcW w:w="3260" w:type="dxa"/>
            <w:tcBorders>
              <w:top w:val="single" w:sz="4" w:space="0" w:color="auto"/>
              <w:left w:val="single" w:sz="4" w:space="0" w:color="auto"/>
              <w:bottom w:val="single" w:sz="4" w:space="0" w:color="auto"/>
              <w:right w:val="single" w:sz="4" w:space="0" w:color="auto"/>
            </w:tcBorders>
          </w:tcPr>
          <w:p w14:paraId="78A18B16" w14:textId="77777777" w:rsidR="000D4A66" w:rsidRPr="00A707B9" w:rsidRDefault="000D4A66" w:rsidP="000D4A66">
            <w:pPr>
              <w:pStyle w:val="TAL"/>
              <w:rPr>
                <w:lang w:val="en-GB"/>
              </w:rPr>
            </w:pPr>
            <w:r w:rsidRPr="00A707B9">
              <w:rPr>
                <w:lang w:val="en-GB"/>
              </w:rPr>
              <w:t>Basic SRS</w:t>
            </w:r>
          </w:p>
        </w:tc>
        <w:tc>
          <w:tcPr>
            <w:tcW w:w="1843" w:type="dxa"/>
            <w:tcBorders>
              <w:top w:val="single" w:sz="4" w:space="0" w:color="auto"/>
              <w:left w:val="single" w:sz="4" w:space="0" w:color="auto"/>
              <w:bottom w:val="single" w:sz="4" w:space="0" w:color="auto"/>
              <w:right w:val="single" w:sz="4" w:space="0" w:color="auto"/>
            </w:tcBorders>
          </w:tcPr>
          <w:p w14:paraId="3BD4BE45" w14:textId="7B85BFEB" w:rsidR="00B56A49" w:rsidRPr="00A707B9" w:rsidRDefault="00B56A49">
            <w:pPr>
              <w:pStyle w:val="TAL"/>
              <w:jc w:val="left"/>
              <w:rPr>
                <w:lang w:val="en-GB"/>
              </w:rPr>
            </w:pPr>
            <w:r w:rsidRPr="00A707B9">
              <w:rPr>
                <w:lang w:val="en-GB"/>
              </w:rPr>
              <w:t>components 1,2</w:t>
            </w:r>
          </w:p>
        </w:tc>
        <w:tc>
          <w:tcPr>
            <w:tcW w:w="1134" w:type="dxa"/>
            <w:tcBorders>
              <w:top w:val="single" w:sz="4" w:space="0" w:color="auto"/>
              <w:left w:val="single" w:sz="4" w:space="0" w:color="auto"/>
              <w:bottom w:val="single" w:sz="4" w:space="0" w:color="auto"/>
              <w:right w:val="single" w:sz="4" w:space="0" w:color="auto"/>
            </w:tcBorders>
          </w:tcPr>
          <w:p w14:paraId="379B6212" w14:textId="09EF491E"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40CB1DA1" w14:textId="77777777" w:rsidR="000D4A66" w:rsidRPr="00A707B9" w:rsidRDefault="000D4A66" w:rsidP="005014AB">
            <w:pPr>
              <w:pStyle w:val="TAL"/>
              <w:jc w:val="center"/>
              <w:rPr>
                <w:lang w:val="en-GB"/>
              </w:rPr>
            </w:pPr>
          </w:p>
        </w:tc>
      </w:tr>
      <w:tr w:rsidR="000D4A66" w:rsidRPr="007D1E1D" w14:paraId="05CB42C1" w14:textId="314A02CF" w:rsidTr="001D504B">
        <w:trPr>
          <w:tblHeader/>
          <w:jc w:val="center"/>
        </w:trPr>
        <w:tc>
          <w:tcPr>
            <w:tcW w:w="1980" w:type="dxa"/>
            <w:tcBorders>
              <w:left w:val="single" w:sz="4" w:space="0" w:color="auto"/>
              <w:right w:val="single" w:sz="4" w:space="0" w:color="auto"/>
            </w:tcBorders>
          </w:tcPr>
          <w:p w14:paraId="09475FBA" w14:textId="77777777" w:rsidR="000D4A66" w:rsidRPr="00A707B9" w:rsidRDefault="000D4A66" w:rsidP="001D504B">
            <w:pPr>
              <w:pStyle w:val="TAL"/>
              <w:jc w:val="left"/>
              <w:rPr>
                <w:lang w:val="en-GB"/>
              </w:rPr>
            </w:pPr>
            <w:r w:rsidRPr="00A707B9">
              <w:rPr>
                <w:lang w:val="en-GB"/>
              </w:rPr>
              <w:t>3. DL control channel and procedure</w:t>
            </w:r>
          </w:p>
        </w:tc>
        <w:tc>
          <w:tcPr>
            <w:tcW w:w="992" w:type="dxa"/>
            <w:tcBorders>
              <w:left w:val="single" w:sz="4" w:space="0" w:color="auto"/>
              <w:right w:val="single" w:sz="4" w:space="0" w:color="auto"/>
            </w:tcBorders>
          </w:tcPr>
          <w:p w14:paraId="12301B38" w14:textId="77777777" w:rsidR="000D4A66" w:rsidRPr="00A707B9" w:rsidRDefault="000D4A66" w:rsidP="000D4A66">
            <w:pPr>
              <w:pStyle w:val="TAL"/>
              <w:rPr>
                <w:lang w:val="en-GB"/>
              </w:rPr>
            </w:pPr>
            <w:r w:rsidRPr="00A707B9">
              <w:rPr>
                <w:lang w:val="en-GB"/>
              </w:rPr>
              <w:t>3-1</w:t>
            </w:r>
          </w:p>
        </w:tc>
        <w:tc>
          <w:tcPr>
            <w:tcW w:w="3260" w:type="dxa"/>
            <w:tcBorders>
              <w:top w:val="single" w:sz="4" w:space="0" w:color="auto"/>
              <w:left w:val="single" w:sz="4" w:space="0" w:color="auto"/>
              <w:bottom w:val="single" w:sz="4" w:space="0" w:color="auto"/>
              <w:right w:val="single" w:sz="4" w:space="0" w:color="auto"/>
            </w:tcBorders>
          </w:tcPr>
          <w:p w14:paraId="5A90F31B" w14:textId="77777777" w:rsidR="000D4A66" w:rsidRPr="00A707B9" w:rsidRDefault="000D4A66" w:rsidP="000D4A66">
            <w:pPr>
              <w:pStyle w:val="TAL"/>
              <w:rPr>
                <w:lang w:val="en-GB"/>
              </w:rPr>
            </w:pPr>
            <w:r w:rsidRPr="00A707B9">
              <w:rPr>
                <w:lang w:val="en-GB"/>
              </w:rPr>
              <w:t>Basic DL control channel</w:t>
            </w:r>
          </w:p>
        </w:tc>
        <w:tc>
          <w:tcPr>
            <w:tcW w:w="1843" w:type="dxa"/>
            <w:tcBorders>
              <w:top w:val="single" w:sz="4" w:space="0" w:color="auto"/>
              <w:left w:val="single" w:sz="4" w:space="0" w:color="auto"/>
              <w:bottom w:val="single" w:sz="4" w:space="0" w:color="auto"/>
              <w:right w:val="single" w:sz="4" w:space="0" w:color="auto"/>
            </w:tcBorders>
          </w:tcPr>
          <w:p w14:paraId="0C95E9E5" w14:textId="5520843E" w:rsidR="00B56A49" w:rsidRPr="00A707B9" w:rsidRDefault="00B56A49">
            <w:pPr>
              <w:pStyle w:val="TAL"/>
              <w:jc w:val="left"/>
              <w:rPr>
                <w:lang w:val="en-GB"/>
              </w:rPr>
            </w:pPr>
            <w:r w:rsidRPr="00A707B9">
              <w:rPr>
                <w:lang w:val="en-GB"/>
              </w:rPr>
              <w:t>components 1,2,3,4,5</w:t>
            </w:r>
          </w:p>
        </w:tc>
        <w:tc>
          <w:tcPr>
            <w:tcW w:w="1134" w:type="dxa"/>
            <w:tcBorders>
              <w:top w:val="single" w:sz="4" w:space="0" w:color="auto"/>
              <w:left w:val="single" w:sz="4" w:space="0" w:color="auto"/>
              <w:bottom w:val="single" w:sz="4" w:space="0" w:color="auto"/>
              <w:right w:val="single" w:sz="4" w:space="0" w:color="auto"/>
            </w:tcBorders>
          </w:tcPr>
          <w:p w14:paraId="6D62C37E" w14:textId="0424A335"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7F5A8075" w14:textId="77777777" w:rsidR="000D4A66" w:rsidRPr="00A707B9" w:rsidRDefault="000D4A66" w:rsidP="005014AB">
            <w:pPr>
              <w:pStyle w:val="TAL"/>
              <w:jc w:val="center"/>
              <w:rPr>
                <w:lang w:val="en-GB"/>
              </w:rPr>
            </w:pPr>
          </w:p>
        </w:tc>
      </w:tr>
      <w:tr w:rsidR="00F115EE" w:rsidRPr="007D1E1D" w14:paraId="3542BA14" w14:textId="7BFF0607" w:rsidTr="001D504B">
        <w:trPr>
          <w:tblHeader/>
          <w:jc w:val="center"/>
        </w:trPr>
        <w:tc>
          <w:tcPr>
            <w:tcW w:w="1980" w:type="dxa"/>
            <w:vMerge w:val="restart"/>
            <w:tcBorders>
              <w:left w:val="single" w:sz="4" w:space="0" w:color="auto"/>
              <w:right w:val="single" w:sz="4" w:space="0" w:color="auto"/>
            </w:tcBorders>
          </w:tcPr>
          <w:p w14:paraId="61CCA7D3" w14:textId="77777777" w:rsidR="000D4A66" w:rsidRPr="00A707B9" w:rsidRDefault="000D4A66" w:rsidP="001D504B">
            <w:pPr>
              <w:pStyle w:val="TAL"/>
              <w:jc w:val="left"/>
              <w:rPr>
                <w:lang w:val="en-GB"/>
              </w:rPr>
            </w:pPr>
            <w:r w:rsidRPr="00A707B9">
              <w:rPr>
                <w:lang w:val="en-GB"/>
              </w:rPr>
              <w:t>4. UL control channel and procedure</w:t>
            </w:r>
          </w:p>
        </w:tc>
        <w:tc>
          <w:tcPr>
            <w:tcW w:w="992" w:type="dxa"/>
            <w:tcBorders>
              <w:left w:val="single" w:sz="4" w:space="0" w:color="auto"/>
              <w:right w:val="single" w:sz="4" w:space="0" w:color="auto"/>
            </w:tcBorders>
          </w:tcPr>
          <w:p w14:paraId="034F2EF6" w14:textId="77777777" w:rsidR="000D4A66" w:rsidRPr="00A707B9" w:rsidRDefault="000D4A66" w:rsidP="000D4A66">
            <w:pPr>
              <w:pStyle w:val="TAL"/>
              <w:rPr>
                <w:lang w:val="en-GB"/>
              </w:rPr>
            </w:pPr>
            <w:r w:rsidRPr="00A707B9">
              <w:rPr>
                <w:lang w:val="en-GB"/>
              </w:rPr>
              <w:t>4-1</w:t>
            </w:r>
          </w:p>
        </w:tc>
        <w:tc>
          <w:tcPr>
            <w:tcW w:w="3260" w:type="dxa"/>
            <w:tcBorders>
              <w:top w:val="single" w:sz="4" w:space="0" w:color="auto"/>
              <w:left w:val="single" w:sz="4" w:space="0" w:color="auto"/>
              <w:bottom w:val="single" w:sz="4" w:space="0" w:color="auto"/>
              <w:right w:val="single" w:sz="4" w:space="0" w:color="auto"/>
            </w:tcBorders>
          </w:tcPr>
          <w:p w14:paraId="0FC936A9" w14:textId="77777777" w:rsidR="000D4A66" w:rsidRPr="00A707B9" w:rsidRDefault="000D4A66" w:rsidP="000D4A66">
            <w:pPr>
              <w:pStyle w:val="TAL"/>
              <w:rPr>
                <w:lang w:val="en-GB"/>
              </w:rPr>
            </w:pPr>
            <w:r w:rsidRPr="00A707B9">
              <w:rPr>
                <w:lang w:val="en-GB"/>
              </w:rPr>
              <w:t>Basic UL control channel</w:t>
            </w:r>
          </w:p>
        </w:tc>
        <w:tc>
          <w:tcPr>
            <w:tcW w:w="1843" w:type="dxa"/>
            <w:tcBorders>
              <w:top w:val="single" w:sz="4" w:space="0" w:color="auto"/>
              <w:left w:val="single" w:sz="4" w:space="0" w:color="auto"/>
              <w:bottom w:val="single" w:sz="4" w:space="0" w:color="auto"/>
              <w:right w:val="single" w:sz="4" w:space="0" w:color="auto"/>
            </w:tcBorders>
          </w:tcPr>
          <w:p w14:paraId="73B9AFD8" w14:textId="77777777" w:rsidR="00B56A49" w:rsidRPr="00A707B9" w:rsidRDefault="00B56A49"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2BB7B7CB" w14:textId="773CD4B9"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0197289E" w14:textId="77777777" w:rsidR="000D4A66" w:rsidRPr="00A707B9" w:rsidRDefault="000D4A66" w:rsidP="005014AB">
            <w:pPr>
              <w:pStyle w:val="TAL"/>
              <w:jc w:val="center"/>
              <w:rPr>
                <w:lang w:val="en-GB"/>
              </w:rPr>
            </w:pPr>
          </w:p>
        </w:tc>
      </w:tr>
      <w:tr w:rsidR="00F115EE" w:rsidRPr="007D1E1D" w14:paraId="27C4E56F" w14:textId="33963DA8" w:rsidTr="001D504B">
        <w:trPr>
          <w:tblHeader/>
          <w:jc w:val="center"/>
        </w:trPr>
        <w:tc>
          <w:tcPr>
            <w:tcW w:w="1980" w:type="dxa"/>
            <w:vMerge/>
            <w:tcBorders>
              <w:left w:val="single" w:sz="4" w:space="0" w:color="auto"/>
              <w:right w:val="single" w:sz="4" w:space="0" w:color="auto"/>
            </w:tcBorders>
          </w:tcPr>
          <w:p w14:paraId="5BE96316" w14:textId="77777777" w:rsidR="000D4A66" w:rsidRPr="00A707B9" w:rsidRDefault="000D4A66" w:rsidP="00A73B68">
            <w:pPr>
              <w:pStyle w:val="TAL"/>
              <w:jc w:val="left"/>
              <w:rPr>
                <w:lang w:val="en-GB"/>
              </w:rPr>
            </w:pPr>
          </w:p>
        </w:tc>
        <w:tc>
          <w:tcPr>
            <w:tcW w:w="992" w:type="dxa"/>
            <w:tcBorders>
              <w:left w:val="single" w:sz="4" w:space="0" w:color="auto"/>
              <w:right w:val="single" w:sz="4" w:space="0" w:color="auto"/>
            </w:tcBorders>
          </w:tcPr>
          <w:p w14:paraId="238B2A52" w14:textId="77777777" w:rsidR="000D4A66" w:rsidRPr="00A707B9" w:rsidRDefault="000D4A66" w:rsidP="000D4A66">
            <w:pPr>
              <w:pStyle w:val="TAL"/>
              <w:rPr>
                <w:lang w:val="en-GB"/>
              </w:rPr>
            </w:pPr>
            <w:r w:rsidRPr="00A707B9">
              <w:rPr>
                <w:lang w:val="en-GB"/>
              </w:rPr>
              <w:t>4-10</w:t>
            </w:r>
          </w:p>
        </w:tc>
        <w:tc>
          <w:tcPr>
            <w:tcW w:w="3260" w:type="dxa"/>
            <w:tcBorders>
              <w:top w:val="single" w:sz="4" w:space="0" w:color="auto"/>
              <w:left w:val="single" w:sz="4" w:space="0" w:color="auto"/>
              <w:bottom w:val="single" w:sz="4" w:space="0" w:color="auto"/>
              <w:right w:val="single" w:sz="4" w:space="0" w:color="auto"/>
            </w:tcBorders>
          </w:tcPr>
          <w:p w14:paraId="2CE351C6" w14:textId="77777777" w:rsidR="000D4A66" w:rsidRPr="00A707B9" w:rsidRDefault="000D4A66" w:rsidP="000D4A66">
            <w:pPr>
              <w:pStyle w:val="TAL"/>
              <w:rPr>
                <w:lang w:val="en-GB"/>
              </w:rPr>
            </w:pPr>
            <w:r w:rsidRPr="00A707B9">
              <w:rPr>
                <w:lang w:val="en-GB"/>
              </w:rPr>
              <w:t>Dynamic HARQ-ACK codebook</w:t>
            </w:r>
          </w:p>
        </w:tc>
        <w:tc>
          <w:tcPr>
            <w:tcW w:w="1843" w:type="dxa"/>
            <w:tcBorders>
              <w:top w:val="single" w:sz="4" w:space="0" w:color="auto"/>
              <w:left w:val="single" w:sz="4" w:space="0" w:color="auto"/>
              <w:bottom w:val="single" w:sz="4" w:space="0" w:color="auto"/>
              <w:right w:val="single" w:sz="4" w:space="0" w:color="auto"/>
            </w:tcBorders>
          </w:tcPr>
          <w:p w14:paraId="54F3F4ED" w14:textId="77777777" w:rsidR="00B56A49" w:rsidRPr="00A707B9" w:rsidRDefault="00B56A49"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3441D15A" w14:textId="45EDF59A" w:rsidR="000D4A66" w:rsidRPr="00A707B9" w:rsidRDefault="000D4A66"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25C812B0" w14:textId="454E24EB" w:rsidR="000D4A66" w:rsidRPr="00A707B9" w:rsidRDefault="000D4A66" w:rsidP="005014AB">
            <w:pPr>
              <w:pStyle w:val="TAL"/>
              <w:jc w:val="center"/>
              <w:rPr>
                <w:lang w:val="en-GB"/>
              </w:rPr>
            </w:pPr>
            <w:r w:rsidRPr="00A707B9">
              <w:rPr>
                <w:lang w:val="en-GB"/>
              </w:rPr>
              <w:t>Yes</w:t>
            </w:r>
          </w:p>
        </w:tc>
      </w:tr>
      <w:tr w:rsidR="000D4A66" w:rsidRPr="007D1E1D" w14:paraId="6D1604D9" w14:textId="1CAD5BFB" w:rsidTr="001D504B">
        <w:trPr>
          <w:tblHeader/>
          <w:jc w:val="center"/>
        </w:trPr>
        <w:tc>
          <w:tcPr>
            <w:tcW w:w="1980" w:type="dxa"/>
            <w:tcBorders>
              <w:left w:val="single" w:sz="4" w:space="0" w:color="auto"/>
              <w:right w:val="single" w:sz="4" w:space="0" w:color="auto"/>
            </w:tcBorders>
          </w:tcPr>
          <w:p w14:paraId="47A29842" w14:textId="12A69552" w:rsidR="000D4A66" w:rsidRPr="00A707B9" w:rsidRDefault="000D4A66" w:rsidP="001D504B">
            <w:pPr>
              <w:pStyle w:val="TAL"/>
              <w:jc w:val="left"/>
              <w:rPr>
                <w:lang w:val="en-GB"/>
              </w:rPr>
            </w:pPr>
            <w:r w:rsidRPr="00A707B9">
              <w:rPr>
                <w:lang w:val="en-GB"/>
              </w:rPr>
              <w:t>5. Scheduling/HARQ operation</w:t>
            </w:r>
          </w:p>
        </w:tc>
        <w:tc>
          <w:tcPr>
            <w:tcW w:w="992" w:type="dxa"/>
            <w:tcBorders>
              <w:left w:val="single" w:sz="4" w:space="0" w:color="auto"/>
              <w:right w:val="single" w:sz="4" w:space="0" w:color="auto"/>
            </w:tcBorders>
          </w:tcPr>
          <w:p w14:paraId="43B7FA03" w14:textId="77777777" w:rsidR="000D4A66" w:rsidRPr="00A707B9" w:rsidRDefault="000D4A66" w:rsidP="000D4A66">
            <w:pPr>
              <w:pStyle w:val="TAL"/>
              <w:rPr>
                <w:lang w:val="en-GB"/>
              </w:rPr>
            </w:pPr>
            <w:r w:rsidRPr="00A707B9">
              <w:rPr>
                <w:lang w:val="en-GB"/>
              </w:rPr>
              <w:t>5-1</w:t>
            </w:r>
          </w:p>
        </w:tc>
        <w:tc>
          <w:tcPr>
            <w:tcW w:w="3260" w:type="dxa"/>
            <w:tcBorders>
              <w:top w:val="single" w:sz="4" w:space="0" w:color="auto"/>
              <w:left w:val="single" w:sz="4" w:space="0" w:color="auto"/>
              <w:bottom w:val="single" w:sz="4" w:space="0" w:color="auto"/>
              <w:right w:val="single" w:sz="4" w:space="0" w:color="auto"/>
            </w:tcBorders>
          </w:tcPr>
          <w:p w14:paraId="03FF1D5C" w14:textId="77777777" w:rsidR="000D4A66" w:rsidRPr="00A707B9" w:rsidRDefault="000D4A66" w:rsidP="000D4A66">
            <w:pPr>
              <w:pStyle w:val="TAL"/>
              <w:rPr>
                <w:lang w:val="en-GB"/>
              </w:rPr>
            </w:pPr>
            <w:r w:rsidRPr="00A707B9">
              <w:rPr>
                <w:lang w:val="en-GB"/>
              </w:rPr>
              <w:t>Basic scheduling/HARQ operation</w:t>
            </w:r>
          </w:p>
        </w:tc>
        <w:tc>
          <w:tcPr>
            <w:tcW w:w="1843" w:type="dxa"/>
            <w:tcBorders>
              <w:top w:val="single" w:sz="4" w:space="0" w:color="auto"/>
              <w:left w:val="single" w:sz="4" w:space="0" w:color="auto"/>
              <w:bottom w:val="single" w:sz="4" w:space="0" w:color="auto"/>
              <w:right w:val="single" w:sz="4" w:space="0" w:color="auto"/>
            </w:tcBorders>
          </w:tcPr>
          <w:p w14:paraId="55B21C0D" w14:textId="5B7E31B0" w:rsidR="00B56A49" w:rsidRPr="00A707B9" w:rsidRDefault="00B56A49">
            <w:pPr>
              <w:pStyle w:val="TAL"/>
              <w:jc w:val="left"/>
              <w:rPr>
                <w:lang w:val="en-GB"/>
              </w:rPr>
            </w:pPr>
            <w:r w:rsidRPr="00A707B9">
              <w:rPr>
                <w:lang w:val="en-GB"/>
              </w:rPr>
              <w:t>components 1,2,3,4,5,6,7,9,10,12</w:t>
            </w:r>
          </w:p>
        </w:tc>
        <w:tc>
          <w:tcPr>
            <w:tcW w:w="1134" w:type="dxa"/>
            <w:tcBorders>
              <w:top w:val="single" w:sz="4" w:space="0" w:color="auto"/>
              <w:left w:val="single" w:sz="4" w:space="0" w:color="auto"/>
              <w:bottom w:val="single" w:sz="4" w:space="0" w:color="auto"/>
              <w:right w:val="single" w:sz="4" w:space="0" w:color="auto"/>
            </w:tcBorders>
          </w:tcPr>
          <w:p w14:paraId="50ED5BB5" w14:textId="5B9A9E27"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41AE6E88" w14:textId="77777777" w:rsidR="000D4A66" w:rsidRPr="00A707B9" w:rsidRDefault="000D4A66" w:rsidP="005014AB">
            <w:pPr>
              <w:pStyle w:val="TAL"/>
              <w:jc w:val="center"/>
              <w:rPr>
                <w:lang w:val="en-GB"/>
              </w:rPr>
            </w:pPr>
          </w:p>
        </w:tc>
      </w:tr>
      <w:tr w:rsidR="000D4A66" w:rsidRPr="007D1E1D" w14:paraId="6EA2EDCE" w14:textId="6C49C215" w:rsidTr="001D504B">
        <w:trPr>
          <w:tblHeader/>
          <w:jc w:val="center"/>
        </w:trPr>
        <w:tc>
          <w:tcPr>
            <w:tcW w:w="1980" w:type="dxa"/>
            <w:tcBorders>
              <w:left w:val="single" w:sz="4" w:space="0" w:color="auto"/>
              <w:right w:val="single" w:sz="4" w:space="0" w:color="auto"/>
            </w:tcBorders>
          </w:tcPr>
          <w:p w14:paraId="00C4DC0B" w14:textId="77777777" w:rsidR="000D4A66" w:rsidRPr="00A707B9" w:rsidRDefault="000D4A66" w:rsidP="001D504B">
            <w:pPr>
              <w:pStyle w:val="TAL"/>
              <w:jc w:val="left"/>
              <w:rPr>
                <w:lang w:val="en-GB"/>
              </w:rPr>
            </w:pPr>
            <w:r w:rsidRPr="00A707B9">
              <w:rPr>
                <w:lang w:val="en-GB"/>
              </w:rPr>
              <w:t>6. CA/DC, BWP, SUL</w:t>
            </w:r>
          </w:p>
        </w:tc>
        <w:tc>
          <w:tcPr>
            <w:tcW w:w="992" w:type="dxa"/>
            <w:tcBorders>
              <w:left w:val="single" w:sz="4" w:space="0" w:color="auto"/>
              <w:right w:val="single" w:sz="4" w:space="0" w:color="auto"/>
            </w:tcBorders>
          </w:tcPr>
          <w:p w14:paraId="1B3A31FE" w14:textId="77777777" w:rsidR="000D4A66" w:rsidRPr="00A707B9" w:rsidRDefault="000D4A66" w:rsidP="000D4A66">
            <w:pPr>
              <w:pStyle w:val="TAL"/>
              <w:rPr>
                <w:lang w:val="en-GB"/>
              </w:rPr>
            </w:pPr>
            <w:r w:rsidRPr="00A707B9">
              <w:rPr>
                <w:lang w:val="en-GB"/>
              </w:rPr>
              <w:t>6-1</w:t>
            </w:r>
          </w:p>
        </w:tc>
        <w:tc>
          <w:tcPr>
            <w:tcW w:w="3260" w:type="dxa"/>
            <w:tcBorders>
              <w:top w:val="single" w:sz="4" w:space="0" w:color="auto"/>
              <w:left w:val="single" w:sz="4" w:space="0" w:color="auto"/>
              <w:bottom w:val="single" w:sz="4" w:space="0" w:color="auto"/>
              <w:right w:val="single" w:sz="4" w:space="0" w:color="auto"/>
            </w:tcBorders>
          </w:tcPr>
          <w:p w14:paraId="229CA642" w14:textId="77777777" w:rsidR="000D4A66" w:rsidRPr="00A707B9" w:rsidRDefault="000D4A66" w:rsidP="000D4A66">
            <w:pPr>
              <w:pStyle w:val="TAL"/>
              <w:rPr>
                <w:lang w:val="en-GB"/>
              </w:rPr>
            </w:pPr>
            <w:r w:rsidRPr="00A707B9">
              <w:rPr>
                <w:lang w:val="en-GB"/>
              </w:rPr>
              <w:t>Basic BWP operation with restriction</w:t>
            </w:r>
          </w:p>
        </w:tc>
        <w:tc>
          <w:tcPr>
            <w:tcW w:w="1843" w:type="dxa"/>
            <w:tcBorders>
              <w:top w:val="single" w:sz="4" w:space="0" w:color="auto"/>
              <w:left w:val="single" w:sz="4" w:space="0" w:color="auto"/>
              <w:bottom w:val="single" w:sz="4" w:space="0" w:color="auto"/>
              <w:right w:val="single" w:sz="4" w:space="0" w:color="auto"/>
            </w:tcBorders>
          </w:tcPr>
          <w:p w14:paraId="55902441" w14:textId="77777777" w:rsidR="00B56A49" w:rsidRPr="00A707B9" w:rsidRDefault="00B56A49"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5C7C8568" w14:textId="39282E97"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64A79A5C" w14:textId="77777777" w:rsidR="000D4A66" w:rsidRPr="00A707B9" w:rsidRDefault="000D4A66" w:rsidP="005014AB">
            <w:pPr>
              <w:pStyle w:val="TAL"/>
              <w:jc w:val="center"/>
              <w:rPr>
                <w:lang w:val="en-GB"/>
              </w:rPr>
            </w:pPr>
          </w:p>
        </w:tc>
      </w:tr>
      <w:tr w:rsidR="000D4A66" w:rsidRPr="007D1E1D" w14:paraId="605730EF" w14:textId="66AAB7BD" w:rsidTr="001D504B">
        <w:trPr>
          <w:tblHeader/>
          <w:jc w:val="center"/>
        </w:trPr>
        <w:tc>
          <w:tcPr>
            <w:tcW w:w="1980" w:type="dxa"/>
            <w:tcBorders>
              <w:left w:val="single" w:sz="4" w:space="0" w:color="auto"/>
              <w:right w:val="single" w:sz="4" w:space="0" w:color="auto"/>
            </w:tcBorders>
          </w:tcPr>
          <w:p w14:paraId="7B89E664" w14:textId="77777777" w:rsidR="000D4A66" w:rsidRPr="00A707B9" w:rsidRDefault="000D4A66" w:rsidP="001D504B">
            <w:pPr>
              <w:pStyle w:val="TAL"/>
              <w:jc w:val="left"/>
              <w:rPr>
                <w:lang w:val="en-GB"/>
              </w:rPr>
            </w:pPr>
            <w:r w:rsidRPr="00A707B9">
              <w:rPr>
                <w:lang w:val="en-GB"/>
              </w:rPr>
              <w:t>7. Channel coding</w:t>
            </w:r>
          </w:p>
        </w:tc>
        <w:tc>
          <w:tcPr>
            <w:tcW w:w="992" w:type="dxa"/>
            <w:tcBorders>
              <w:left w:val="single" w:sz="4" w:space="0" w:color="auto"/>
              <w:right w:val="single" w:sz="4" w:space="0" w:color="auto"/>
            </w:tcBorders>
          </w:tcPr>
          <w:p w14:paraId="745877CC" w14:textId="77777777" w:rsidR="000D4A66" w:rsidRPr="00A707B9" w:rsidRDefault="000D4A66" w:rsidP="000D4A66">
            <w:pPr>
              <w:pStyle w:val="TAL"/>
              <w:rPr>
                <w:lang w:val="en-GB"/>
              </w:rPr>
            </w:pPr>
            <w:r w:rsidRPr="00A707B9">
              <w:rPr>
                <w:lang w:val="en-GB"/>
              </w:rPr>
              <w:t>7-1</w:t>
            </w:r>
          </w:p>
        </w:tc>
        <w:tc>
          <w:tcPr>
            <w:tcW w:w="3260" w:type="dxa"/>
            <w:tcBorders>
              <w:top w:val="single" w:sz="4" w:space="0" w:color="auto"/>
              <w:left w:val="single" w:sz="4" w:space="0" w:color="auto"/>
              <w:bottom w:val="single" w:sz="4" w:space="0" w:color="auto"/>
              <w:right w:val="single" w:sz="4" w:space="0" w:color="auto"/>
            </w:tcBorders>
          </w:tcPr>
          <w:p w14:paraId="00F8B57D" w14:textId="77777777" w:rsidR="000D4A66" w:rsidRPr="00A707B9" w:rsidRDefault="000D4A66" w:rsidP="000D4A66">
            <w:pPr>
              <w:pStyle w:val="TAL"/>
              <w:rPr>
                <w:lang w:val="en-GB"/>
              </w:rPr>
            </w:pPr>
            <w:r w:rsidRPr="00A707B9">
              <w:rPr>
                <w:lang w:val="en-GB"/>
              </w:rPr>
              <w:t>Channel coding</w:t>
            </w:r>
          </w:p>
        </w:tc>
        <w:tc>
          <w:tcPr>
            <w:tcW w:w="1843" w:type="dxa"/>
            <w:tcBorders>
              <w:top w:val="single" w:sz="4" w:space="0" w:color="auto"/>
              <w:left w:val="single" w:sz="4" w:space="0" w:color="auto"/>
              <w:bottom w:val="single" w:sz="4" w:space="0" w:color="auto"/>
              <w:right w:val="single" w:sz="4" w:space="0" w:color="auto"/>
            </w:tcBorders>
          </w:tcPr>
          <w:p w14:paraId="519806C4" w14:textId="77777777" w:rsidR="00B56A49" w:rsidRPr="00A707B9" w:rsidRDefault="00B56A49"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1670D31D" w14:textId="7F433D6A"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3E57B510" w14:textId="77777777" w:rsidR="000D4A66" w:rsidRPr="00A707B9" w:rsidRDefault="000D4A66" w:rsidP="005014AB">
            <w:pPr>
              <w:pStyle w:val="TAL"/>
              <w:jc w:val="center"/>
              <w:rPr>
                <w:lang w:val="en-GB"/>
              </w:rPr>
            </w:pPr>
          </w:p>
        </w:tc>
      </w:tr>
      <w:tr w:rsidR="000D4A66" w:rsidRPr="007D1E1D" w14:paraId="5687CC75" w14:textId="6C3435CC" w:rsidTr="001D504B">
        <w:trPr>
          <w:tblHeader/>
          <w:jc w:val="center"/>
        </w:trPr>
        <w:tc>
          <w:tcPr>
            <w:tcW w:w="1980" w:type="dxa"/>
            <w:tcBorders>
              <w:left w:val="single" w:sz="4" w:space="0" w:color="auto"/>
              <w:bottom w:val="single" w:sz="4" w:space="0" w:color="auto"/>
              <w:right w:val="single" w:sz="4" w:space="0" w:color="auto"/>
            </w:tcBorders>
          </w:tcPr>
          <w:p w14:paraId="0BFD2755" w14:textId="77777777" w:rsidR="000D4A66" w:rsidRPr="00A707B9" w:rsidRDefault="000D4A66" w:rsidP="001D504B">
            <w:pPr>
              <w:pStyle w:val="TAL"/>
              <w:jc w:val="left"/>
              <w:rPr>
                <w:lang w:val="en-GB"/>
              </w:rPr>
            </w:pPr>
            <w:r w:rsidRPr="00A707B9">
              <w:rPr>
                <w:lang w:val="en-GB"/>
              </w:rPr>
              <w:t>8. UL TPC</w:t>
            </w:r>
          </w:p>
        </w:tc>
        <w:tc>
          <w:tcPr>
            <w:tcW w:w="992" w:type="dxa"/>
            <w:tcBorders>
              <w:left w:val="single" w:sz="4" w:space="0" w:color="auto"/>
              <w:bottom w:val="single" w:sz="4" w:space="0" w:color="auto"/>
              <w:right w:val="single" w:sz="4" w:space="0" w:color="auto"/>
            </w:tcBorders>
          </w:tcPr>
          <w:p w14:paraId="09DA930B" w14:textId="77777777" w:rsidR="000D4A66" w:rsidRPr="00A707B9" w:rsidRDefault="000D4A66" w:rsidP="000D4A66">
            <w:pPr>
              <w:pStyle w:val="TAL"/>
              <w:rPr>
                <w:lang w:val="en-GB"/>
              </w:rPr>
            </w:pPr>
            <w:r w:rsidRPr="00A707B9">
              <w:rPr>
                <w:lang w:val="en-GB"/>
              </w:rPr>
              <w:t>8-3</w:t>
            </w:r>
          </w:p>
        </w:tc>
        <w:tc>
          <w:tcPr>
            <w:tcW w:w="3260" w:type="dxa"/>
            <w:tcBorders>
              <w:top w:val="single" w:sz="4" w:space="0" w:color="auto"/>
              <w:left w:val="single" w:sz="4" w:space="0" w:color="auto"/>
              <w:bottom w:val="single" w:sz="4" w:space="0" w:color="auto"/>
              <w:right w:val="single" w:sz="4" w:space="0" w:color="auto"/>
            </w:tcBorders>
          </w:tcPr>
          <w:p w14:paraId="2147B216" w14:textId="77777777" w:rsidR="000D4A66" w:rsidRPr="00A707B9" w:rsidRDefault="000D4A66" w:rsidP="000D4A66">
            <w:pPr>
              <w:pStyle w:val="TAL"/>
              <w:rPr>
                <w:lang w:val="en-GB"/>
              </w:rPr>
            </w:pPr>
            <w:r w:rsidRPr="00A707B9">
              <w:rPr>
                <w:lang w:val="en-GB"/>
              </w:rPr>
              <w:t>Basic power control operation</w:t>
            </w:r>
          </w:p>
        </w:tc>
        <w:tc>
          <w:tcPr>
            <w:tcW w:w="1843" w:type="dxa"/>
            <w:tcBorders>
              <w:top w:val="single" w:sz="4" w:space="0" w:color="auto"/>
              <w:left w:val="single" w:sz="4" w:space="0" w:color="auto"/>
              <w:bottom w:val="single" w:sz="4" w:space="0" w:color="auto"/>
              <w:right w:val="single" w:sz="4" w:space="0" w:color="auto"/>
            </w:tcBorders>
          </w:tcPr>
          <w:p w14:paraId="19C0E223" w14:textId="77777777" w:rsidR="00B56A49" w:rsidRPr="00A707B9" w:rsidRDefault="00B56A49" w:rsidP="005014AB">
            <w:pPr>
              <w:pStyle w:val="TAL"/>
              <w:jc w:val="center"/>
              <w:rPr>
                <w:lang w:val="en-GB"/>
              </w:rPr>
            </w:pPr>
          </w:p>
        </w:tc>
        <w:tc>
          <w:tcPr>
            <w:tcW w:w="1134" w:type="dxa"/>
            <w:tcBorders>
              <w:top w:val="single" w:sz="4" w:space="0" w:color="auto"/>
              <w:left w:val="single" w:sz="4" w:space="0" w:color="auto"/>
              <w:bottom w:val="single" w:sz="4" w:space="0" w:color="auto"/>
              <w:right w:val="single" w:sz="4" w:space="0" w:color="auto"/>
            </w:tcBorders>
          </w:tcPr>
          <w:p w14:paraId="4E280512" w14:textId="7AE762A9" w:rsidR="000D4A66" w:rsidRPr="00A707B9" w:rsidRDefault="000D4A66" w:rsidP="005014AB">
            <w:pPr>
              <w:pStyle w:val="TAL"/>
              <w:jc w:val="center"/>
              <w:rPr>
                <w:lang w:val="en-GB"/>
              </w:rPr>
            </w:pPr>
            <w:r w:rsidRPr="00A707B9">
              <w:rPr>
                <w:lang w:val="en-GB"/>
              </w:rPr>
              <w:t>Yes</w:t>
            </w:r>
          </w:p>
        </w:tc>
        <w:tc>
          <w:tcPr>
            <w:tcW w:w="1134" w:type="dxa"/>
            <w:tcBorders>
              <w:top w:val="single" w:sz="4" w:space="0" w:color="auto"/>
              <w:left w:val="single" w:sz="4" w:space="0" w:color="auto"/>
              <w:bottom w:val="single" w:sz="4" w:space="0" w:color="auto"/>
              <w:right w:val="single" w:sz="4" w:space="0" w:color="auto"/>
            </w:tcBorders>
          </w:tcPr>
          <w:p w14:paraId="2A00D410" w14:textId="77777777" w:rsidR="000D4A66" w:rsidRPr="00A707B9" w:rsidRDefault="000D4A66" w:rsidP="005014AB">
            <w:pPr>
              <w:pStyle w:val="TAL"/>
              <w:jc w:val="center"/>
              <w:rPr>
                <w:lang w:val="en-GB"/>
              </w:rPr>
            </w:pPr>
          </w:p>
        </w:tc>
      </w:tr>
    </w:tbl>
    <w:p w14:paraId="7D267B97" w14:textId="77777777" w:rsidR="00F05B36" w:rsidRPr="00A707B9" w:rsidRDefault="00F05B36">
      <w:pPr>
        <w:rPr>
          <w:lang w:val="en-GB"/>
        </w:rPr>
      </w:pPr>
    </w:p>
    <w:p w14:paraId="406CEC3A" w14:textId="00333B4E" w:rsidR="00306584" w:rsidRDefault="003836C5" w:rsidP="00306584">
      <w:pPr>
        <w:pStyle w:val="Observation"/>
        <w:rPr>
          <w:lang w:val="en-GB"/>
        </w:rPr>
      </w:pPr>
      <w:bookmarkStart w:id="2" w:name="_Toc118727912"/>
      <w:r>
        <w:rPr>
          <w:lang w:val="en-GB"/>
        </w:rPr>
        <w:t>The d</w:t>
      </w:r>
      <w:r w:rsidR="00306584">
        <w:rPr>
          <w:lang w:val="en-GB"/>
        </w:rPr>
        <w:t xml:space="preserve">eployment situation for </w:t>
      </w:r>
      <w:r w:rsidR="00C15C5C" w:rsidRPr="00E01926">
        <w:rPr>
          <w:lang w:val="en-GB"/>
        </w:rPr>
        <w:t>IAB</w:t>
      </w:r>
      <w:r w:rsidR="00C15C5C">
        <w:rPr>
          <w:lang w:val="en-GB"/>
        </w:rPr>
        <w:t>-</w:t>
      </w:r>
      <w:r w:rsidR="00306584">
        <w:rPr>
          <w:lang w:val="en-GB"/>
        </w:rPr>
        <w:t xml:space="preserve">node and </w:t>
      </w:r>
      <w:r w:rsidR="00C15C5C">
        <w:rPr>
          <w:lang w:val="en-GB"/>
        </w:rPr>
        <w:t>NCR</w:t>
      </w:r>
      <w:r w:rsidR="00C15C5C" w:rsidRPr="00E01926">
        <w:rPr>
          <w:lang w:val="en-GB"/>
        </w:rPr>
        <w:t xml:space="preserve"> </w:t>
      </w:r>
      <w:r w:rsidR="00306584">
        <w:rPr>
          <w:lang w:val="en-GB"/>
        </w:rPr>
        <w:t xml:space="preserve">is similar, hence </w:t>
      </w:r>
      <w:r>
        <w:rPr>
          <w:lang w:val="en-GB"/>
        </w:rPr>
        <w:t xml:space="preserve">the </w:t>
      </w:r>
      <w:r w:rsidR="00C15C5C">
        <w:rPr>
          <w:lang w:val="en-GB"/>
        </w:rPr>
        <w:t xml:space="preserve">required </w:t>
      </w:r>
      <w:r w:rsidR="00306584">
        <w:rPr>
          <w:lang w:val="en-GB"/>
        </w:rPr>
        <w:t xml:space="preserve">features </w:t>
      </w:r>
      <w:r w:rsidR="005A05F5">
        <w:rPr>
          <w:lang w:val="en-GB"/>
        </w:rPr>
        <w:t>for IAB-MT and NCR-MT</w:t>
      </w:r>
      <w:r w:rsidR="00306584">
        <w:rPr>
          <w:lang w:val="en-GB"/>
        </w:rPr>
        <w:t xml:space="preserve"> are similar</w:t>
      </w:r>
      <w:r w:rsidR="00C15C5C">
        <w:rPr>
          <w:lang w:val="en-GB"/>
        </w:rPr>
        <w:t>.</w:t>
      </w:r>
      <w:bookmarkEnd w:id="2"/>
    </w:p>
    <w:p w14:paraId="34FE654B" w14:textId="24084D81" w:rsidR="00306584" w:rsidRPr="00A707B9" w:rsidRDefault="003836C5" w:rsidP="005D764C">
      <w:pPr>
        <w:pStyle w:val="Proposal"/>
        <w:rPr>
          <w:lang w:val="en-GB"/>
        </w:rPr>
      </w:pPr>
      <w:bookmarkStart w:id="3" w:name="_Toc118727915"/>
      <w:r>
        <w:rPr>
          <w:lang w:val="en-GB"/>
        </w:rPr>
        <w:t xml:space="preserve">Use the </w:t>
      </w:r>
      <w:r w:rsidRPr="00A73B68">
        <w:t>identified</w:t>
      </w:r>
      <w:r>
        <w:rPr>
          <w:lang w:val="en-GB"/>
        </w:rPr>
        <w:t xml:space="preserve"> and agreed IAB</w:t>
      </w:r>
      <w:r w:rsidR="005A05F5">
        <w:rPr>
          <w:lang w:val="en-GB"/>
        </w:rPr>
        <w:t>-MT</w:t>
      </w:r>
      <w:r>
        <w:rPr>
          <w:lang w:val="en-GB"/>
        </w:rPr>
        <w:t xml:space="preserve"> capabilities as a</w:t>
      </w:r>
      <w:r w:rsidR="003209E5">
        <w:rPr>
          <w:lang w:val="en-GB"/>
        </w:rPr>
        <w:t xml:space="preserve"> starting point for repeater</w:t>
      </w:r>
      <w:r w:rsidR="005A05F5">
        <w:rPr>
          <w:lang w:val="en-GB"/>
        </w:rPr>
        <w:t>-MT</w:t>
      </w:r>
      <w:r w:rsidR="003209E5">
        <w:rPr>
          <w:lang w:val="en-GB"/>
        </w:rPr>
        <w:t xml:space="preserve"> </w:t>
      </w:r>
      <w:r w:rsidR="00306584">
        <w:rPr>
          <w:lang w:val="en-GB"/>
        </w:rPr>
        <w:t>capabilities.</w:t>
      </w:r>
      <w:bookmarkStart w:id="4" w:name="_Toc118278482"/>
      <w:bookmarkEnd w:id="4"/>
      <w:bookmarkEnd w:id="3"/>
    </w:p>
    <w:p w14:paraId="6FEE828F" w14:textId="201F2CD9" w:rsidR="00F53315" w:rsidRDefault="00F53315" w:rsidP="005014AB">
      <w:pPr>
        <w:pStyle w:val="Heading2"/>
      </w:pPr>
      <w:r>
        <w:t>HARQ for PDCCH</w:t>
      </w:r>
    </w:p>
    <w:p w14:paraId="7C2F4656" w14:textId="3F25C8AD" w:rsidR="003F0FAF" w:rsidRPr="008653EB" w:rsidRDefault="00D7095E" w:rsidP="003F0FAF">
      <w:pPr>
        <w:rPr>
          <w:lang w:val="en-GB" w:eastAsia="ja-JP"/>
        </w:rPr>
      </w:pPr>
      <w:r>
        <w:rPr>
          <w:rFonts w:cs="Arial"/>
          <w:szCs w:val="20"/>
          <w:lang w:val="en-GB"/>
        </w:rPr>
        <w:t>T</w:t>
      </w:r>
      <w:r w:rsidR="003F0FAF" w:rsidRPr="00A707B9">
        <w:rPr>
          <w:rFonts w:cs="Arial"/>
          <w:szCs w:val="20"/>
          <w:lang w:val="en-GB"/>
        </w:rPr>
        <w:t>he following agreement regarding ACK/NACK for the side control information was made in the RAN1#110bis-e meeting</w:t>
      </w:r>
      <w:r w:rsidR="006F6613" w:rsidRPr="00A707B9">
        <w:rPr>
          <w:rFonts w:cs="Arial"/>
          <w:szCs w:val="20"/>
          <w:lang w:val="en-GB"/>
        </w:rPr>
        <w:t xml:space="preserve"> </w:t>
      </w:r>
      <w:r w:rsidR="006F6613" w:rsidRPr="00A707B9">
        <w:rPr>
          <w:rFonts w:cs="Arial"/>
          <w:szCs w:val="20"/>
          <w:lang w:val="en-GB"/>
        </w:rPr>
        <w:fldChar w:fldCharType="begin"/>
      </w:r>
      <w:r w:rsidR="006F6613" w:rsidRPr="00A707B9">
        <w:rPr>
          <w:rFonts w:cs="Arial"/>
          <w:szCs w:val="20"/>
          <w:lang w:val="en-GB"/>
        </w:rPr>
        <w:instrText xml:space="preserve"> REF _Ref117512099 \r \h </w:instrText>
      </w:r>
      <w:r w:rsidR="006F6613" w:rsidRPr="00A707B9">
        <w:rPr>
          <w:rFonts w:cs="Arial"/>
          <w:szCs w:val="20"/>
          <w:lang w:val="en-GB"/>
        </w:rPr>
      </w:r>
      <w:r w:rsidR="006F6613" w:rsidRPr="00A707B9">
        <w:rPr>
          <w:rFonts w:cs="Arial"/>
          <w:szCs w:val="20"/>
          <w:lang w:val="en-GB"/>
        </w:rPr>
        <w:fldChar w:fldCharType="separate"/>
      </w:r>
      <w:r w:rsidR="00CB6BFE">
        <w:rPr>
          <w:rFonts w:cs="Arial"/>
          <w:szCs w:val="20"/>
          <w:lang w:val="en-GB"/>
        </w:rPr>
        <w:t>[3]</w:t>
      </w:r>
      <w:r w:rsidR="006F6613" w:rsidRPr="00A707B9">
        <w:rPr>
          <w:rFonts w:cs="Arial"/>
          <w:szCs w:val="20"/>
          <w:lang w:val="en-GB"/>
        </w:rPr>
        <w:fldChar w:fldCharType="end"/>
      </w:r>
      <w:r w:rsidR="003F0FAF" w:rsidRPr="00A707B9">
        <w:rPr>
          <w:rFonts w:cs="Arial"/>
          <w:szCs w:val="20"/>
          <w:lang w:val="en-GB"/>
        </w:rPr>
        <w:t>.</w:t>
      </w:r>
      <w:r w:rsidR="003F0FAF" w:rsidRPr="008653EB">
        <w:rPr>
          <w:lang w:val="en-GB" w:eastAsia="ja-JP"/>
        </w:rPr>
        <w:t xml:space="preserve"> </w:t>
      </w:r>
    </w:p>
    <w:tbl>
      <w:tblPr>
        <w:tblStyle w:val="TableGrid"/>
        <w:tblW w:w="0" w:type="auto"/>
        <w:tblLook w:val="04A0" w:firstRow="1" w:lastRow="0" w:firstColumn="1" w:lastColumn="0" w:noHBand="0" w:noVBand="1"/>
      </w:tblPr>
      <w:tblGrid>
        <w:gridCol w:w="9629"/>
      </w:tblGrid>
      <w:tr w:rsidR="001F4D9C" w14:paraId="3BB4CDDE" w14:textId="77777777" w:rsidTr="00810681">
        <w:tc>
          <w:tcPr>
            <w:tcW w:w="9629" w:type="dxa"/>
          </w:tcPr>
          <w:p w14:paraId="3CAA5471" w14:textId="77777777" w:rsidR="003F0FAF" w:rsidRPr="00A707B9" w:rsidRDefault="003F0FAF" w:rsidP="00810681">
            <w:pPr>
              <w:shd w:val="clear" w:color="auto" w:fill="FFFFFF"/>
              <w:spacing w:after="0" w:line="240" w:lineRule="auto"/>
              <w:jc w:val="left"/>
              <w:rPr>
                <w:rFonts w:ascii="Times" w:eastAsia="SimSun" w:hAnsi="Times" w:cs="Times"/>
                <w:b/>
                <w:color w:val="493118"/>
                <w:szCs w:val="20"/>
                <w:highlight w:val="green"/>
                <w:shd w:val="clear" w:color="auto" w:fill="FFFF00"/>
                <w:lang w:val="en-GB" w:eastAsia="zh-CN"/>
              </w:rPr>
            </w:pPr>
            <w:r w:rsidRPr="00A707B9">
              <w:rPr>
                <w:rFonts w:ascii="Times" w:eastAsia="SimSun" w:hAnsi="Times" w:cs="Times"/>
                <w:b/>
                <w:color w:val="493118"/>
                <w:szCs w:val="20"/>
                <w:highlight w:val="green"/>
                <w:lang w:val="en-GB" w:eastAsia="zh-CN"/>
              </w:rPr>
              <w:t>Agreement (RAN1#110bis-e)</w:t>
            </w:r>
          </w:p>
          <w:p w14:paraId="6D765A86" w14:textId="77777777" w:rsidR="003F0FAF" w:rsidRPr="00A707B9" w:rsidRDefault="003F0FAF" w:rsidP="00810681">
            <w:pPr>
              <w:spacing w:after="0" w:line="240" w:lineRule="auto"/>
              <w:jc w:val="left"/>
              <w:rPr>
                <w:rFonts w:ascii="Times" w:eastAsia="MS Gothic" w:hAnsi="Times" w:cs="Times"/>
                <w:color w:val="000000"/>
                <w:szCs w:val="20"/>
                <w:lang w:val="en-GB" w:eastAsia="x-none"/>
              </w:rPr>
            </w:pPr>
            <w:r w:rsidRPr="00A707B9">
              <w:rPr>
                <w:rFonts w:ascii="Times" w:eastAsia="MS Gothic" w:hAnsi="Times" w:cs="Times"/>
                <w:color w:val="000000"/>
                <w:szCs w:val="20"/>
                <w:lang w:val="en-GB" w:eastAsia="x-none"/>
              </w:rPr>
              <w:t xml:space="preserve">HARQ-ACK feedback for PDSCH carrying the side control information from higher layer </w:t>
            </w:r>
            <w:r w:rsidRPr="008653EB">
              <w:rPr>
                <w:rFonts w:ascii="Times" w:eastAsia="MS Gothic" w:hAnsi="Times" w:cs="Times"/>
                <w:iCs/>
                <w:color w:val="000000"/>
                <w:szCs w:val="20"/>
                <w:lang w:val="en-GB" w:eastAsia="x-none"/>
              </w:rPr>
              <w:t xml:space="preserve">(e.g., MAC-CE, RRC) </w:t>
            </w:r>
            <w:r w:rsidRPr="00A707B9">
              <w:rPr>
                <w:rFonts w:ascii="Times" w:eastAsia="MS Gothic" w:hAnsi="Times" w:cs="Times"/>
                <w:color w:val="000000"/>
                <w:szCs w:val="20"/>
                <w:lang w:val="en-GB" w:eastAsia="x-none"/>
              </w:rPr>
              <w:t>is supported. The legacy HARQ-ACK feedback mechanism is reused.</w:t>
            </w:r>
          </w:p>
          <w:p w14:paraId="707BC0F6" w14:textId="77777777" w:rsidR="003F0FAF" w:rsidRPr="008653EB" w:rsidRDefault="003F0FAF" w:rsidP="003F0FAF">
            <w:pPr>
              <w:numPr>
                <w:ilvl w:val="0"/>
                <w:numId w:val="27"/>
              </w:numPr>
              <w:spacing w:after="0" w:line="240" w:lineRule="auto"/>
              <w:jc w:val="left"/>
              <w:rPr>
                <w:rFonts w:ascii="Times" w:eastAsia="Batang" w:hAnsi="Times" w:cs="Times"/>
                <w:iCs/>
                <w:szCs w:val="24"/>
                <w:lang w:val="en-GB"/>
              </w:rPr>
            </w:pPr>
            <w:r w:rsidRPr="008653EB">
              <w:rPr>
                <w:rFonts w:ascii="Times" w:eastAsia="Batang" w:hAnsi="Times" w:cs="Times"/>
                <w:iCs/>
                <w:szCs w:val="24"/>
                <w:lang w:val="en-GB"/>
              </w:rPr>
              <w:t>FFS: Whether HARQ-ACK feedback for PDCCH carrying side control information is supported</w:t>
            </w:r>
          </w:p>
          <w:p w14:paraId="56A687FD" w14:textId="6C672823" w:rsidR="003F0FAF" w:rsidRPr="008653EB" w:rsidRDefault="003F0FAF" w:rsidP="003F0FAF">
            <w:pPr>
              <w:numPr>
                <w:ilvl w:val="0"/>
                <w:numId w:val="27"/>
              </w:numPr>
              <w:spacing w:after="0" w:line="240" w:lineRule="auto"/>
              <w:jc w:val="left"/>
              <w:rPr>
                <w:rFonts w:ascii="Times" w:eastAsia="Batang" w:hAnsi="Times" w:cs="Times"/>
                <w:iCs/>
                <w:szCs w:val="24"/>
                <w:lang w:val="en-GB"/>
              </w:rPr>
            </w:pPr>
            <w:r w:rsidRPr="008653EB">
              <w:rPr>
                <w:rFonts w:ascii="Times" w:eastAsia="Batang" w:hAnsi="Times" w:cs="Times"/>
                <w:iCs/>
                <w:szCs w:val="24"/>
                <w:lang w:val="en-GB"/>
              </w:rPr>
              <w:t>Note: This does not mean all legacy HARQ-ACK feedback mechanism will be supported.</w:t>
            </w:r>
          </w:p>
          <w:p w14:paraId="4DBBE108" w14:textId="77777777" w:rsidR="003F0FAF" w:rsidRPr="00616207" w:rsidRDefault="003F0FAF" w:rsidP="00810681">
            <w:pPr>
              <w:spacing w:after="0" w:line="240" w:lineRule="auto"/>
              <w:jc w:val="left"/>
              <w:rPr>
                <w:sz w:val="20"/>
                <w:szCs w:val="20"/>
                <w:lang w:val="en-GB"/>
              </w:rPr>
            </w:pPr>
          </w:p>
        </w:tc>
      </w:tr>
    </w:tbl>
    <w:p w14:paraId="215AB6D4" w14:textId="6E1541F3" w:rsidR="003F0FAF" w:rsidRPr="008653EB" w:rsidRDefault="003F0FAF" w:rsidP="003F0FAF">
      <w:pPr>
        <w:spacing w:before="240"/>
        <w:rPr>
          <w:lang w:val="en-GB"/>
        </w:rPr>
      </w:pPr>
      <w:r>
        <w:rPr>
          <w:lang w:val="en-GB" w:eastAsia="ja-JP"/>
        </w:rPr>
        <w:lastRenderedPageBreak/>
        <w:t xml:space="preserve">From </w:t>
      </w:r>
      <w:r w:rsidRPr="00282AE2">
        <w:rPr>
          <w:lang w:val="en-GB"/>
        </w:rPr>
        <w:t>a network perspective, the repeater deployment can be assumed to be well-planned and under operator control, with good and stable line-of-sight propagation conditions on</w:t>
      </w:r>
      <w:r w:rsidR="007129C4" w:rsidRPr="007129C4">
        <w:rPr>
          <w:lang w:val="en-GB"/>
        </w:rPr>
        <w:t xml:space="preserve"> </w:t>
      </w:r>
      <w:r w:rsidR="007129C4">
        <w:rPr>
          <w:lang w:val="en-GB"/>
        </w:rPr>
        <w:t>the control and</w:t>
      </w:r>
      <w:r w:rsidRPr="00282AE2">
        <w:rPr>
          <w:lang w:val="en-GB"/>
        </w:rPr>
        <w:t xml:space="preserve"> the backhaul link</w:t>
      </w:r>
      <w:r w:rsidR="007129C4">
        <w:rPr>
          <w:lang w:val="en-GB"/>
        </w:rPr>
        <w:t>s</w:t>
      </w:r>
      <w:r w:rsidRPr="00282AE2">
        <w:rPr>
          <w:lang w:val="en-GB"/>
        </w:rPr>
        <w:t xml:space="preserve">. </w:t>
      </w:r>
      <w:r>
        <w:rPr>
          <w:lang w:val="en-GB"/>
        </w:rPr>
        <w:t>Specially, we expect the availability of the control and backhaul links to be similar as the tradition</w:t>
      </w:r>
      <w:r w:rsidR="003836C5">
        <w:rPr>
          <w:lang w:val="en-GB"/>
        </w:rPr>
        <w:t>al</w:t>
      </w:r>
      <w:r>
        <w:rPr>
          <w:lang w:val="en-GB"/>
        </w:rPr>
        <w:t xml:space="preserve"> wireless backhaul, i.e., at least 4</w:t>
      </w:r>
      <w:r w:rsidR="003836C5">
        <w:rPr>
          <w:lang w:val="en-GB"/>
        </w:rPr>
        <w:t>-</w:t>
      </w:r>
      <w:r>
        <w:rPr>
          <w:lang w:val="en-GB"/>
        </w:rPr>
        <w:t>9</w:t>
      </w:r>
      <w:r w:rsidR="003836C5">
        <w:rPr>
          <w:lang w:val="en-GB"/>
        </w:rPr>
        <w:t>s</w:t>
      </w:r>
      <w:r>
        <w:rPr>
          <w:lang w:val="en-GB"/>
        </w:rPr>
        <w:t xml:space="preserve"> availability. </w:t>
      </w:r>
      <w:r w:rsidRPr="00A707B9">
        <w:rPr>
          <w:lang w:val="en-GB"/>
        </w:rPr>
        <w:t xml:space="preserve">Introducing </w:t>
      </w:r>
      <w:r w:rsidR="00DC0AAD">
        <w:rPr>
          <w:lang w:val="en-GB"/>
        </w:rPr>
        <w:t>additional</w:t>
      </w:r>
      <w:r w:rsidRPr="00A707B9">
        <w:rPr>
          <w:lang w:val="en-GB"/>
        </w:rPr>
        <w:t xml:space="preserve"> complicated dynamic HARQ-ACK mechanism for a link that is assumed to be robust (e.g., an ACK message is received for almost 99.99% of time) is not justified</w:t>
      </w:r>
      <w:r w:rsidR="00F51DEA" w:rsidRPr="00A707B9">
        <w:rPr>
          <w:lang w:val="en-GB"/>
        </w:rPr>
        <w:t xml:space="preserve">, considering HARQ-ACK for PDCCH is not even required for legacy access links which often operate in </w:t>
      </w:r>
      <w:r w:rsidR="005F77D1" w:rsidRPr="00A707B9">
        <w:rPr>
          <w:lang w:val="en-GB"/>
        </w:rPr>
        <w:t>more challenging</w:t>
      </w:r>
      <w:r w:rsidR="00F51DEA" w:rsidRPr="00A707B9">
        <w:rPr>
          <w:lang w:val="en-GB"/>
        </w:rPr>
        <w:t xml:space="preserve"> </w:t>
      </w:r>
      <w:proofErr w:type="spellStart"/>
      <w:r w:rsidR="00F51DEA" w:rsidRPr="00A707B9">
        <w:rPr>
          <w:lang w:val="en-GB"/>
        </w:rPr>
        <w:t>nL</w:t>
      </w:r>
      <w:r w:rsidR="00D760E4">
        <w:rPr>
          <w:lang w:val="en-GB"/>
        </w:rPr>
        <w:t>o</w:t>
      </w:r>
      <w:r w:rsidR="00F51DEA" w:rsidRPr="00A707B9">
        <w:rPr>
          <w:lang w:val="en-GB"/>
        </w:rPr>
        <w:t>S</w:t>
      </w:r>
      <w:proofErr w:type="spellEnd"/>
      <w:r w:rsidR="00F51DEA" w:rsidRPr="00A707B9">
        <w:rPr>
          <w:lang w:val="en-GB"/>
        </w:rPr>
        <w:t xml:space="preserve"> conditions.</w:t>
      </w:r>
      <w:r w:rsidRPr="00A707B9">
        <w:rPr>
          <w:lang w:val="en-GB"/>
        </w:rPr>
        <w:t xml:space="preserve"> In our </w:t>
      </w:r>
      <w:r w:rsidR="00910D30">
        <w:rPr>
          <w:lang w:val="en-GB"/>
        </w:rPr>
        <w:t>opinion</w:t>
      </w:r>
      <w:r w:rsidRPr="00A707B9">
        <w:rPr>
          <w:lang w:val="en-GB"/>
        </w:rPr>
        <w:t>, the need for re-transmission of the L</w:t>
      </w:r>
      <w:r w:rsidR="00CC14C3" w:rsidRPr="00A707B9">
        <w:rPr>
          <w:lang w:val="en-GB"/>
        </w:rPr>
        <w:t>ayer-</w:t>
      </w:r>
      <w:r w:rsidRPr="00A707B9">
        <w:rPr>
          <w:lang w:val="en-GB"/>
        </w:rPr>
        <w:t>1 side</w:t>
      </w:r>
      <w:r w:rsidR="00910D30">
        <w:rPr>
          <w:lang w:val="en-GB"/>
        </w:rPr>
        <w:t>-</w:t>
      </w:r>
      <w:r w:rsidRPr="00A707B9">
        <w:rPr>
          <w:lang w:val="en-GB"/>
        </w:rPr>
        <w:t>control information should be avoided already at deployment.</w:t>
      </w:r>
    </w:p>
    <w:p w14:paraId="30249F7C" w14:textId="7C9FD120" w:rsidR="003F0FAF" w:rsidRPr="00C815B9" w:rsidRDefault="003F0FAF" w:rsidP="003F0FAF">
      <w:pPr>
        <w:rPr>
          <w:lang w:val="en-GB"/>
        </w:rPr>
      </w:pPr>
      <w:r>
        <w:rPr>
          <w:lang w:val="en-GB"/>
        </w:rPr>
        <w:t xml:space="preserve">It should also be noted that the ACK/NACK procedure has an inherent delay which is </w:t>
      </w:r>
      <w:r w:rsidRPr="00C815B9">
        <w:rPr>
          <w:lang w:val="en-GB"/>
        </w:rPr>
        <w:t xml:space="preserve">only applicable to </w:t>
      </w:r>
      <w:r w:rsidR="00D0014A">
        <w:rPr>
          <w:lang w:val="en-GB"/>
        </w:rPr>
        <w:t xml:space="preserve">the </w:t>
      </w:r>
      <w:r w:rsidRPr="00C815B9">
        <w:rPr>
          <w:lang w:val="en-GB"/>
        </w:rPr>
        <w:t xml:space="preserve">cases </w:t>
      </w:r>
      <w:r w:rsidR="00DC0AAD">
        <w:rPr>
          <w:lang w:val="en-GB"/>
        </w:rPr>
        <w:t>where</w:t>
      </w:r>
      <w:r w:rsidRPr="00C815B9">
        <w:rPr>
          <w:lang w:val="en-GB"/>
        </w:rPr>
        <w:t xml:space="preserve"> longer </w:t>
      </w:r>
      <w:r w:rsidR="00910D30">
        <w:rPr>
          <w:lang w:val="en-GB"/>
        </w:rPr>
        <w:t>configuration</w:t>
      </w:r>
      <w:r w:rsidRPr="00C815B9">
        <w:rPr>
          <w:lang w:val="en-GB"/>
        </w:rPr>
        <w:t xml:space="preserve"> application latencies</w:t>
      </w:r>
      <w:r w:rsidR="00B92BBD" w:rsidRPr="00C815B9">
        <w:rPr>
          <w:lang w:val="en-GB"/>
        </w:rPr>
        <w:t xml:space="preserve"> </w:t>
      </w:r>
      <w:r w:rsidR="00DC0AAD">
        <w:rPr>
          <w:lang w:val="en-GB"/>
        </w:rPr>
        <w:t>are not critical</w:t>
      </w:r>
      <w:r w:rsidR="00B92BBD" w:rsidRPr="00C815B9">
        <w:rPr>
          <w:lang w:val="en-GB"/>
        </w:rPr>
        <w:t xml:space="preserve"> (e.g., SPS release or Rel-17 unified TCI)</w:t>
      </w:r>
      <w:r w:rsidRPr="00C815B9">
        <w:rPr>
          <w:lang w:val="en-GB"/>
        </w:rPr>
        <w:t xml:space="preserve">. </w:t>
      </w:r>
      <w:r w:rsidR="00910D30">
        <w:rPr>
          <w:lang w:val="en-GB"/>
        </w:rPr>
        <w:t xml:space="preserve">Even if a </w:t>
      </w:r>
      <w:r w:rsidR="00703B52">
        <w:rPr>
          <w:lang w:val="en-GB"/>
        </w:rPr>
        <w:t>C</w:t>
      </w:r>
      <w:r w:rsidR="00910D30">
        <w:rPr>
          <w:lang w:val="en-GB"/>
        </w:rPr>
        <w:t xml:space="preserve">-link channel is so bad that it is considered for a moment that </w:t>
      </w:r>
      <w:r w:rsidRPr="00C815B9">
        <w:rPr>
          <w:lang w:val="en-GB"/>
        </w:rPr>
        <w:t xml:space="preserve">HARQ-ACK feedback for PDCCH reception </w:t>
      </w:r>
      <w:r w:rsidR="00910D30">
        <w:rPr>
          <w:lang w:val="en-GB"/>
        </w:rPr>
        <w:t xml:space="preserve">could make sense, </w:t>
      </w:r>
      <w:r w:rsidR="00DC327D">
        <w:rPr>
          <w:lang w:val="en-GB"/>
        </w:rPr>
        <w:t xml:space="preserve">for a repeater to support the typically low time offsets between PDCCH scheduling and PDSCH data reception, </w:t>
      </w:r>
      <w:r w:rsidRPr="00C815B9">
        <w:rPr>
          <w:lang w:val="en-GB"/>
        </w:rPr>
        <w:t xml:space="preserve">not even a single retransmission </w:t>
      </w:r>
      <w:r w:rsidR="00DC327D">
        <w:rPr>
          <w:lang w:val="en-GB"/>
        </w:rPr>
        <w:t xml:space="preserve">may be feasible </w:t>
      </w:r>
      <w:r w:rsidRPr="00C815B9">
        <w:rPr>
          <w:lang w:val="en-GB"/>
        </w:rPr>
        <w:t xml:space="preserve">before </w:t>
      </w:r>
      <w:r w:rsidR="00DC327D">
        <w:rPr>
          <w:lang w:val="en-GB"/>
        </w:rPr>
        <w:t xml:space="preserve">the </w:t>
      </w:r>
      <w:r w:rsidRPr="00C815B9">
        <w:rPr>
          <w:lang w:val="en-GB"/>
        </w:rPr>
        <w:t>beam indication needs to be applied. Considering multiple retransmissions</w:t>
      </w:r>
      <w:r w:rsidR="005F77D1" w:rsidRPr="00C815B9">
        <w:rPr>
          <w:lang w:val="en-GB"/>
        </w:rPr>
        <w:t xml:space="preserve"> due to </w:t>
      </w:r>
      <w:r w:rsidR="00910D30">
        <w:rPr>
          <w:lang w:val="en-GB"/>
        </w:rPr>
        <w:t>improper</w:t>
      </w:r>
      <w:r w:rsidR="005F77D1" w:rsidRPr="00C815B9">
        <w:rPr>
          <w:lang w:val="en-GB"/>
        </w:rPr>
        <w:t xml:space="preserve"> deployment with significantly reduced availability</w:t>
      </w:r>
      <w:r w:rsidRPr="00C815B9">
        <w:rPr>
          <w:lang w:val="en-GB"/>
        </w:rPr>
        <w:t>, the HARQ scheme may increase network latency even further.</w:t>
      </w:r>
    </w:p>
    <w:p w14:paraId="080721EE" w14:textId="55A6050F" w:rsidR="003F0FAF" w:rsidRPr="00C815B9" w:rsidRDefault="00DC327D" w:rsidP="003F0FAF">
      <w:pPr>
        <w:rPr>
          <w:lang w:val="en-GB"/>
        </w:rPr>
      </w:pPr>
      <w:r>
        <w:rPr>
          <w:lang w:val="en-GB"/>
        </w:rPr>
        <w:t xml:space="preserve">Additionally, </w:t>
      </w:r>
      <w:r w:rsidR="00A838F5">
        <w:rPr>
          <w:lang w:val="en-GB"/>
        </w:rPr>
        <w:t>to</w:t>
      </w:r>
      <w:r w:rsidR="003F0FAF" w:rsidRPr="00C815B9">
        <w:rPr>
          <w:lang w:val="en-GB"/>
        </w:rPr>
        <w:t xml:space="preserve"> provide timely</w:t>
      </w:r>
      <w:r w:rsidR="00A838F5">
        <w:rPr>
          <w:lang w:val="en-GB"/>
        </w:rPr>
        <w:t xml:space="preserve"> </w:t>
      </w:r>
      <w:r w:rsidR="003F0FAF" w:rsidRPr="00C815B9">
        <w:rPr>
          <w:lang w:val="en-GB"/>
        </w:rPr>
        <w:t xml:space="preserve">feedback </w:t>
      </w:r>
      <w:r w:rsidR="00A838F5">
        <w:rPr>
          <w:lang w:val="en-GB"/>
        </w:rPr>
        <w:t>on</w:t>
      </w:r>
      <w:r w:rsidR="003F0FAF" w:rsidRPr="00C815B9">
        <w:rPr>
          <w:lang w:val="en-GB"/>
        </w:rPr>
        <w:t xml:space="preserve"> PDCCH reception, UL transmission</w:t>
      </w:r>
      <w:r>
        <w:rPr>
          <w:lang w:val="en-GB"/>
        </w:rPr>
        <w:t>s</w:t>
      </w:r>
      <w:r w:rsidR="003F0FAF" w:rsidRPr="00C815B9">
        <w:rPr>
          <w:lang w:val="en-GB"/>
        </w:rPr>
        <w:t xml:space="preserve"> </w:t>
      </w:r>
      <w:r w:rsidR="00A838F5">
        <w:rPr>
          <w:lang w:val="en-GB"/>
        </w:rPr>
        <w:t>need to be scheduled</w:t>
      </w:r>
      <w:r w:rsidR="003F0FAF" w:rsidRPr="00C815B9">
        <w:rPr>
          <w:lang w:val="en-GB"/>
        </w:rPr>
        <w:t xml:space="preserve"> accordingly. </w:t>
      </w:r>
      <w:r w:rsidR="00A838F5">
        <w:rPr>
          <w:lang w:val="en-GB"/>
        </w:rPr>
        <w:t>That would disqualify ACK/NACK feedback from being used in many existing networks, since f</w:t>
      </w:r>
      <w:r w:rsidR="003F0FAF" w:rsidRPr="00C815B9">
        <w:rPr>
          <w:lang w:val="en-GB"/>
        </w:rPr>
        <w:t xml:space="preserve">or many network </w:t>
      </w:r>
      <w:r w:rsidR="00910D30">
        <w:rPr>
          <w:lang w:val="en-GB"/>
        </w:rPr>
        <w:t xml:space="preserve">TDD </w:t>
      </w:r>
      <w:r w:rsidR="003F0FAF" w:rsidRPr="00C815B9">
        <w:rPr>
          <w:lang w:val="en-GB"/>
        </w:rPr>
        <w:t xml:space="preserve">configurations, there may not even be an UL slot configured at a suitable time (not too early, not too late) </w:t>
      </w:r>
      <w:r w:rsidR="00A838F5">
        <w:rPr>
          <w:lang w:val="en-GB"/>
        </w:rPr>
        <w:t xml:space="preserve">during the period </w:t>
      </w:r>
      <w:r w:rsidR="005C3BD2">
        <w:rPr>
          <w:lang w:val="en-GB"/>
        </w:rPr>
        <w:t>for</w:t>
      </w:r>
      <w:r w:rsidR="00A838F5">
        <w:rPr>
          <w:lang w:val="en-GB"/>
        </w:rPr>
        <w:t xml:space="preserve"> which the indicatio</w:t>
      </w:r>
      <w:r w:rsidR="003F0FAF" w:rsidRPr="00C815B9">
        <w:rPr>
          <w:lang w:val="en-GB"/>
        </w:rPr>
        <w:t>n</w:t>
      </w:r>
      <w:r w:rsidR="00A838F5">
        <w:rPr>
          <w:lang w:val="en-GB"/>
        </w:rPr>
        <w:t xml:space="preserve"> is valid</w:t>
      </w:r>
      <w:r w:rsidR="003F0FAF" w:rsidRPr="00C815B9">
        <w:rPr>
          <w:lang w:val="en-GB"/>
        </w:rPr>
        <w:t>. In other word</w:t>
      </w:r>
      <w:r w:rsidR="00A838F5">
        <w:rPr>
          <w:lang w:val="en-GB"/>
        </w:rPr>
        <w:t>s</w:t>
      </w:r>
      <w:r w:rsidR="003F0FAF" w:rsidRPr="00C815B9">
        <w:rPr>
          <w:lang w:val="en-GB"/>
        </w:rPr>
        <w:t xml:space="preserve">, </w:t>
      </w:r>
      <w:r w:rsidR="00A838F5">
        <w:rPr>
          <w:lang w:val="en-GB"/>
        </w:rPr>
        <w:t>specifying</w:t>
      </w:r>
      <w:r w:rsidR="003F0FAF" w:rsidRPr="00C815B9">
        <w:rPr>
          <w:lang w:val="en-GB"/>
        </w:rPr>
        <w:t xml:space="preserve"> HARQ-ACK for PDCCH</w:t>
      </w:r>
      <w:r w:rsidR="00A838F5">
        <w:rPr>
          <w:lang w:val="en-GB"/>
        </w:rPr>
        <w:t>-based dynamic indications in repeaters</w:t>
      </w:r>
      <w:r w:rsidR="003F0FAF" w:rsidRPr="00C815B9">
        <w:rPr>
          <w:lang w:val="en-GB"/>
        </w:rPr>
        <w:t xml:space="preserve"> would substantially restrict the feasible network configurations, specially TDD UL/DL pattern configurations. Considering repeaters will be deployed in existing networks, </w:t>
      </w:r>
      <w:r w:rsidR="00774B5D">
        <w:rPr>
          <w:lang w:val="en-GB"/>
        </w:rPr>
        <w:t>requiring</w:t>
      </w:r>
      <w:r w:rsidR="003F0FAF" w:rsidRPr="00C815B9">
        <w:rPr>
          <w:lang w:val="en-GB"/>
        </w:rPr>
        <w:t xml:space="preserve"> L1-HARQ functionality will have undesirable impact on UEs.</w:t>
      </w:r>
    </w:p>
    <w:p w14:paraId="14AD5EB0" w14:textId="39D364DD" w:rsidR="003F0FAF" w:rsidRDefault="003F0FAF" w:rsidP="003F0FAF">
      <w:pPr>
        <w:rPr>
          <w:lang w:val="en-GB" w:eastAsia="ja-JP"/>
        </w:rPr>
      </w:pPr>
      <w:r w:rsidRPr="00C815B9">
        <w:rPr>
          <w:lang w:val="en-GB"/>
        </w:rPr>
        <w:t xml:space="preserve">Finally, </w:t>
      </w:r>
      <w:r>
        <w:rPr>
          <w:lang w:val="en-GB" w:eastAsia="ja-JP"/>
        </w:rPr>
        <w:t xml:space="preserve">HARQ-ACK feedback for PDCCH is a </w:t>
      </w:r>
      <w:r w:rsidR="005C3BD2">
        <w:rPr>
          <w:lang w:val="en-GB" w:eastAsia="ja-JP"/>
        </w:rPr>
        <w:t>completely</w:t>
      </w:r>
      <w:r>
        <w:rPr>
          <w:lang w:val="en-GB" w:eastAsia="ja-JP"/>
        </w:rPr>
        <w:t xml:space="preserve"> new </w:t>
      </w:r>
      <w:r w:rsidRPr="00A707B9">
        <w:rPr>
          <w:lang w:val="en-GB" w:eastAsia="ja-JP"/>
        </w:rPr>
        <w:t>signa</w:t>
      </w:r>
      <w:r w:rsidR="00774B5D">
        <w:rPr>
          <w:lang w:val="en-GB" w:eastAsia="ja-JP"/>
        </w:rPr>
        <w:t>l</w:t>
      </w:r>
      <w:r w:rsidRPr="00A707B9">
        <w:rPr>
          <w:lang w:val="en-GB" w:eastAsia="ja-JP"/>
        </w:rPr>
        <w:t>ling</w:t>
      </w:r>
      <w:r>
        <w:rPr>
          <w:lang w:val="en-GB" w:eastAsia="ja-JP"/>
        </w:rPr>
        <w:t xml:space="preserve"> which will require a significant specification and validation effort that is not realistic in only two meetings.</w:t>
      </w:r>
    </w:p>
    <w:p w14:paraId="5A163464" w14:textId="015A083D" w:rsidR="003F0FAF" w:rsidRPr="00C815B9" w:rsidRDefault="003F0FAF" w:rsidP="003F0FAF">
      <w:pPr>
        <w:rPr>
          <w:lang w:val="en-GB"/>
        </w:rPr>
      </w:pPr>
      <w:r>
        <w:rPr>
          <w:lang w:val="en-GB" w:eastAsia="ja-JP"/>
        </w:rPr>
        <w:t xml:space="preserve">Based on the above discussion, we </w:t>
      </w:r>
      <w:r w:rsidR="00A838F5">
        <w:rPr>
          <w:lang w:val="en-GB" w:eastAsia="ja-JP"/>
        </w:rPr>
        <w:t xml:space="preserve">observe and </w:t>
      </w:r>
      <w:r>
        <w:rPr>
          <w:lang w:val="en-GB" w:eastAsia="ja-JP"/>
        </w:rPr>
        <w:t>propose</w:t>
      </w:r>
      <w:r w:rsidR="00A838F5">
        <w:rPr>
          <w:lang w:val="en-GB" w:eastAsia="ja-JP"/>
        </w:rPr>
        <w:t xml:space="preserve"> the following</w:t>
      </w:r>
      <w:r>
        <w:rPr>
          <w:lang w:val="en-GB" w:eastAsia="ja-JP"/>
        </w:rPr>
        <w:t>:</w:t>
      </w:r>
    </w:p>
    <w:p w14:paraId="5ADBBAD8" w14:textId="561E1FDA" w:rsidR="00A838F5" w:rsidRDefault="00A838F5" w:rsidP="00A838F5">
      <w:pPr>
        <w:pStyle w:val="Observation"/>
        <w:rPr>
          <w:lang w:val="en-GB"/>
        </w:rPr>
      </w:pPr>
      <w:bookmarkStart w:id="5" w:name="_Toc118727913"/>
      <w:r>
        <w:rPr>
          <w:lang w:val="en-GB"/>
        </w:rPr>
        <w:t>HARQ is not useful for low latency scenarios such as PDCCH-based dynamic indication in repeaters.</w:t>
      </w:r>
      <w:bookmarkEnd w:id="5"/>
    </w:p>
    <w:p w14:paraId="5CB8D73E" w14:textId="77440301" w:rsidR="00A838F5" w:rsidRPr="00C815B9" w:rsidRDefault="00A838F5" w:rsidP="006758C5">
      <w:pPr>
        <w:pStyle w:val="Observation"/>
        <w:rPr>
          <w:lang w:val="en-GB"/>
        </w:rPr>
      </w:pPr>
      <w:bookmarkStart w:id="6" w:name="_Toc118727914"/>
      <w:r>
        <w:rPr>
          <w:lang w:val="en-GB"/>
        </w:rPr>
        <w:t>HARQ for PDCCH-based dynamic indication in repeaters would severely restrict network configurations in terms of TDD UL/DL patterns.</w:t>
      </w:r>
      <w:bookmarkEnd w:id="6"/>
    </w:p>
    <w:p w14:paraId="4262BFE0" w14:textId="605DE5DC" w:rsidR="00BD32F5" w:rsidRPr="00C815B9" w:rsidRDefault="003F0FAF" w:rsidP="006758C5">
      <w:pPr>
        <w:pStyle w:val="Proposal"/>
        <w:rPr>
          <w:lang w:val="en-GB"/>
        </w:rPr>
      </w:pPr>
      <w:bookmarkStart w:id="7" w:name="_Toc118727916"/>
      <w:r w:rsidRPr="00C815B9">
        <w:rPr>
          <w:lang w:val="en-GB"/>
        </w:rPr>
        <w:t>Do not support HARQ</w:t>
      </w:r>
      <w:r w:rsidR="00987836" w:rsidRPr="00C815B9">
        <w:rPr>
          <w:lang w:val="en-GB"/>
        </w:rPr>
        <w:t xml:space="preserve"> feedback for PDCCH carrying side control information</w:t>
      </w:r>
      <w:r w:rsidRPr="00C815B9">
        <w:rPr>
          <w:lang w:val="en-GB"/>
        </w:rPr>
        <w:t>.</w:t>
      </w:r>
      <w:bookmarkEnd w:id="7"/>
    </w:p>
    <w:p w14:paraId="0DC4BD21" w14:textId="30517ADE" w:rsidR="00BD32F5" w:rsidRDefault="00BD32F5" w:rsidP="001F4D9C">
      <w:pPr>
        <w:pStyle w:val="Heading2"/>
      </w:pPr>
      <w:r>
        <w:t>Beam failure reporting</w:t>
      </w:r>
    </w:p>
    <w:p w14:paraId="19565D9E" w14:textId="67A58932" w:rsidR="00F74FBE" w:rsidRPr="00C815B9" w:rsidRDefault="00F74FBE" w:rsidP="003A3358">
      <w:pPr>
        <w:rPr>
          <w:lang w:val="en-GB"/>
        </w:rPr>
      </w:pPr>
      <w:r w:rsidRPr="00C815B9">
        <w:rPr>
          <w:lang w:val="en-GB"/>
        </w:rPr>
        <w:t xml:space="preserve">Although the repeater deployment can be assumed to be well-planned with stable links between the gNB and the NCR, it may still be possible that the signal propagation paths between the gNB and the NCR change due to, e.g., the movement of the objects in the area or </w:t>
      </w:r>
      <w:r w:rsidR="005C3BD2">
        <w:rPr>
          <w:lang w:val="en-GB"/>
        </w:rPr>
        <w:t xml:space="preserve">due to </w:t>
      </w:r>
      <w:r w:rsidRPr="00C815B9">
        <w:rPr>
          <w:lang w:val="en-GB"/>
        </w:rPr>
        <w:t xml:space="preserve">interference. Also, </w:t>
      </w:r>
      <w:r w:rsidRPr="00C815B9">
        <w:rPr>
          <w:rFonts w:cs="Times New Roman"/>
          <w:szCs w:val="24"/>
          <w:lang w:val="en-GB"/>
        </w:rPr>
        <w:t xml:space="preserve">it may be possible that, while the active C-link beam is blocked, there is another C-link beam that can be used properly. In such cases, the legacy BFR mechanism can be useful, to guarantee stable NCR operation. Thus, we believe that, in the cases where </w:t>
      </w:r>
      <w:r w:rsidRPr="00C815B9">
        <w:rPr>
          <w:lang w:val="en-GB"/>
        </w:rPr>
        <w:t>adaptive beams in C-link are supported by the NCR-MT,</w:t>
      </w:r>
      <w:r w:rsidRPr="00C815B9">
        <w:rPr>
          <w:rFonts w:cs="Times New Roman"/>
          <w:szCs w:val="24"/>
          <w:lang w:val="en-GB"/>
        </w:rPr>
        <w:t xml:space="preserve"> the legacy BFR mechanism can be supported as an optional functionality for the NCR-MT</w:t>
      </w:r>
      <w:r w:rsidR="005C3BD2">
        <w:rPr>
          <w:rFonts w:cs="Times New Roman"/>
          <w:szCs w:val="24"/>
          <w:lang w:val="en-GB"/>
        </w:rPr>
        <w:t>. Of course</w:t>
      </w:r>
      <w:r w:rsidRPr="00C815B9">
        <w:rPr>
          <w:rFonts w:cs="Times New Roman"/>
          <w:szCs w:val="24"/>
          <w:lang w:val="en-GB"/>
        </w:rPr>
        <w:t xml:space="preserve">, with fixed beams there is no use for </w:t>
      </w:r>
      <w:r w:rsidR="005C3BD2">
        <w:rPr>
          <w:rFonts w:cs="Times New Roman"/>
          <w:szCs w:val="24"/>
          <w:lang w:val="en-GB"/>
        </w:rPr>
        <w:t xml:space="preserve">a </w:t>
      </w:r>
      <w:r w:rsidRPr="00C815B9">
        <w:rPr>
          <w:rFonts w:cs="Times New Roman"/>
          <w:szCs w:val="24"/>
          <w:lang w:val="en-GB"/>
        </w:rPr>
        <w:t>BFR mechanism.</w:t>
      </w:r>
    </w:p>
    <w:p w14:paraId="3879E8F8" w14:textId="1A1150EB" w:rsidR="00F74FBE" w:rsidRPr="00C815B9" w:rsidRDefault="00F74FBE" w:rsidP="00A73B68">
      <w:pPr>
        <w:pStyle w:val="Proposal"/>
        <w:rPr>
          <w:lang w:val="en-GB"/>
        </w:rPr>
        <w:sectPr w:rsidR="00F74FBE" w:rsidRPr="00C815B9" w:rsidSect="00AC22FB">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bookmarkStart w:id="8" w:name="_Toc118727917"/>
      <w:r w:rsidRPr="00A73B68">
        <w:rPr>
          <w:lang w:val="en-GB"/>
        </w:rPr>
        <w:t>As an optional functionality for</w:t>
      </w:r>
      <w:r w:rsidRPr="00D26317">
        <w:rPr>
          <w:lang w:val="en-GB"/>
        </w:rPr>
        <w:t xml:space="preserve"> the NCR-MT, legacy BFR mechanism is supported, if the NCR-MT supports adaptive beams in C-link.</w:t>
      </w:r>
      <w:bookmarkEnd w:id="8"/>
    </w:p>
    <w:p w14:paraId="37EB5693" w14:textId="77777777" w:rsidR="00C01F33" w:rsidRPr="00CE0424" w:rsidRDefault="00C01F33" w:rsidP="00CE0424">
      <w:pPr>
        <w:pStyle w:val="Heading1"/>
      </w:pPr>
      <w:r w:rsidRPr="00CE0424">
        <w:lastRenderedPageBreak/>
        <w:t>Conclusion</w:t>
      </w:r>
    </w:p>
    <w:p w14:paraId="5A650F21" w14:textId="77777777" w:rsidR="008E065E" w:rsidRPr="00C815B9" w:rsidRDefault="008E065E" w:rsidP="00F56AE9">
      <w:pPr>
        <w:pStyle w:val="BodyText"/>
        <w:rPr>
          <w:b/>
          <w:lang w:val="en-GB"/>
        </w:rPr>
      </w:pPr>
      <w:r w:rsidRPr="00C815B9">
        <w:rPr>
          <w:lang w:val="en-GB"/>
        </w:rPr>
        <w:t xml:space="preserve">In </w:t>
      </w:r>
      <w:r w:rsidR="007729A2" w:rsidRPr="00C815B9">
        <w:rPr>
          <w:lang w:val="en-GB"/>
        </w:rPr>
        <w:t xml:space="preserve">the previous </w:t>
      </w:r>
      <w:r w:rsidRPr="00C815B9">
        <w:rPr>
          <w:lang w:val="en-GB"/>
        </w:rPr>
        <w:t>section</w:t>
      </w:r>
      <w:r w:rsidR="007729A2" w:rsidRPr="00C815B9">
        <w:rPr>
          <w:lang w:val="en-GB"/>
        </w:rPr>
        <w:t>s</w:t>
      </w:r>
      <w:r w:rsidRPr="00C815B9">
        <w:rPr>
          <w:lang w:val="en-GB"/>
        </w:rPr>
        <w:t xml:space="preserve"> we made the following observations:</w:t>
      </w:r>
      <w:r w:rsidR="00C93814" w:rsidRPr="00C815B9">
        <w:rPr>
          <w:b/>
          <w:lang w:val="en-GB"/>
        </w:rPr>
        <w:t xml:space="preserve"> </w:t>
      </w:r>
    </w:p>
    <w:p w14:paraId="7FA0E448" w14:textId="4A1129F8" w:rsidR="00CB6BFE" w:rsidRDefault="006F6582">
      <w:pPr>
        <w:pStyle w:val="TableofFigures"/>
        <w:tabs>
          <w:tab w:val="right" w:leader="dot" w:pos="9629"/>
        </w:tabs>
        <w:rPr>
          <w:rFonts w:asciiTheme="minorHAnsi" w:eastAsiaTheme="minorEastAsia" w:hAnsiTheme="minorHAnsi"/>
          <w:b w:val="0"/>
          <w:noProof/>
          <w:sz w:val="22"/>
          <w:lang w:val="en-SE" w:eastAsia="en-SE"/>
        </w:rPr>
      </w:pPr>
      <w:r w:rsidRPr="00C815B9">
        <w:rPr>
          <w:lang w:val="en-GB"/>
        </w:rPr>
        <w:fldChar w:fldCharType="begin"/>
      </w:r>
      <w:r w:rsidRPr="00C815B9">
        <w:rPr>
          <w:lang w:val="en-GB"/>
        </w:rPr>
        <w:instrText xml:space="preserve"> TOC \f O \n \h \z \t "Observation" \c </w:instrText>
      </w:r>
      <w:r w:rsidRPr="00C815B9">
        <w:rPr>
          <w:lang w:val="en-GB"/>
        </w:rPr>
        <w:fldChar w:fldCharType="separate"/>
      </w:r>
      <w:hyperlink w:anchor="_Toc118727912" w:history="1">
        <w:r w:rsidR="00CB6BFE" w:rsidRPr="00CB35C1">
          <w:rPr>
            <w:rStyle w:val="Hyperlink"/>
            <w:noProof/>
            <w:lang w:val="en-GB"/>
          </w:rPr>
          <w:t>Observation 1</w:t>
        </w:r>
        <w:r w:rsidR="00CB6BFE">
          <w:rPr>
            <w:rFonts w:asciiTheme="minorHAnsi" w:eastAsiaTheme="minorEastAsia" w:hAnsiTheme="minorHAnsi"/>
            <w:b w:val="0"/>
            <w:noProof/>
            <w:sz w:val="22"/>
            <w:lang w:val="en-SE" w:eastAsia="en-SE"/>
          </w:rPr>
          <w:tab/>
        </w:r>
        <w:r w:rsidR="00CB6BFE" w:rsidRPr="00CB35C1">
          <w:rPr>
            <w:rStyle w:val="Hyperlink"/>
            <w:noProof/>
            <w:lang w:val="en-GB"/>
          </w:rPr>
          <w:t>The deployment situation for IAB-node and NCR is similar, hence the required features for IAB-MT and NCR-MT are similar.</w:t>
        </w:r>
      </w:hyperlink>
    </w:p>
    <w:p w14:paraId="5A629BBC" w14:textId="505B63B7" w:rsidR="00CB6BFE" w:rsidRDefault="00CB6BFE">
      <w:pPr>
        <w:pStyle w:val="TableofFigures"/>
        <w:tabs>
          <w:tab w:val="right" w:leader="dot" w:pos="9629"/>
        </w:tabs>
        <w:rPr>
          <w:rFonts w:asciiTheme="minorHAnsi" w:eastAsiaTheme="minorEastAsia" w:hAnsiTheme="minorHAnsi"/>
          <w:b w:val="0"/>
          <w:noProof/>
          <w:sz w:val="22"/>
          <w:lang w:val="en-SE" w:eastAsia="en-SE"/>
        </w:rPr>
      </w:pPr>
      <w:hyperlink w:anchor="_Toc118727913" w:history="1">
        <w:r w:rsidRPr="00CB35C1">
          <w:rPr>
            <w:rStyle w:val="Hyperlink"/>
            <w:noProof/>
            <w:lang w:val="en-GB"/>
          </w:rPr>
          <w:t>Observation 2</w:t>
        </w:r>
        <w:r>
          <w:rPr>
            <w:rFonts w:asciiTheme="minorHAnsi" w:eastAsiaTheme="minorEastAsia" w:hAnsiTheme="minorHAnsi"/>
            <w:b w:val="0"/>
            <w:noProof/>
            <w:sz w:val="22"/>
            <w:lang w:val="en-SE" w:eastAsia="en-SE"/>
          </w:rPr>
          <w:tab/>
        </w:r>
        <w:r w:rsidRPr="00CB35C1">
          <w:rPr>
            <w:rStyle w:val="Hyperlink"/>
            <w:noProof/>
            <w:lang w:val="en-GB"/>
          </w:rPr>
          <w:t>HARQ is not useful for low latency scenarios such as PDCCH-based dynamic indication in repeaters.</w:t>
        </w:r>
      </w:hyperlink>
    </w:p>
    <w:p w14:paraId="13FD65A0" w14:textId="5F9768BA" w:rsidR="00CB6BFE" w:rsidRDefault="00CB6BFE">
      <w:pPr>
        <w:pStyle w:val="TableofFigures"/>
        <w:tabs>
          <w:tab w:val="right" w:leader="dot" w:pos="9629"/>
        </w:tabs>
        <w:rPr>
          <w:rFonts w:asciiTheme="minorHAnsi" w:eastAsiaTheme="minorEastAsia" w:hAnsiTheme="minorHAnsi"/>
          <w:b w:val="0"/>
          <w:noProof/>
          <w:sz w:val="22"/>
          <w:lang w:val="en-SE" w:eastAsia="en-SE"/>
        </w:rPr>
      </w:pPr>
      <w:hyperlink w:anchor="_Toc118727914" w:history="1">
        <w:r w:rsidRPr="00CB35C1">
          <w:rPr>
            <w:rStyle w:val="Hyperlink"/>
            <w:noProof/>
            <w:lang w:val="en-GB"/>
          </w:rPr>
          <w:t>Observation 3</w:t>
        </w:r>
        <w:r>
          <w:rPr>
            <w:rFonts w:asciiTheme="minorHAnsi" w:eastAsiaTheme="minorEastAsia" w:hAnsiTheme="minorHAnsi"/>
            <w:b w:val="0"/>
            <w:noProof/>
            <w:sz w:val="22"/>
            <w:lang w:val="en-SE" w:eastAsia="en-SE"/>
          </w:rPr>
          <w:tab/>
        </w:r>
        <w:r w:rsidRPr="00CB35C1">
          <w:rPr>
            <w:rStyle w:val="Hyperlink"/>
            <w:noProof/>
            <w:lang w:val="en-GB"/>
          </w:rPr>
          <w:t>HARQ for PDCCH-based dynamic indication in repeaters would severely restrict network configurations in terms of TDD UL/DL patterns.</w:t>
        </w:r>
      </w:hyperlink>
    </w:p>
    <w:p w14:paraId="7D91EC5D" w14:textId="1E31C9E4" w:rsidR="006E1C82" w:rsidRPr="00C815B9" w:rsidRDefault="006F6582" w:rsidP="00A73B68">
      <w:pPr>
        <w:pStyle w:val="BodyText"/>
        <w:rPr>
          <w:lang w:val="en-GB"/>
        </w:rPr>
      </w:pPr>
      <w:r w:rsidRPr="00C815B9">
        <w:rPr>
          <w:lang w:val="en-GB"/>
        </w:rPr>
        <w:fldChar w:fldCharType="end"/>
      </w:r>
    </w:p>
    <w:p w14:paraId="6225A1B8" w14:textId="77777777" w:rsidR="006E1C82" w:rsidRPr="00C815B9" w:rsidRDefault="008E065E" w:rsidP="007762BF">
      <w:pPr>
        <w:pStyle w:val="BodyText"/>
        <w:rPr>
          <w:lang w:val="en-GB"/>
        </w:rPr>
      </w:pPr>
      <w:r w:rsidRPr="00C815B9">
        <w:rPr>
          <w:lang w:val="en-GB"/>
        </w:rPr>
        <w:t xml:space="preserve">Based on the discussion in </w:t>
      </w:r>
      <w:r w:rsidR="007729A2" w:rsidRPr="00C815B9">
        <w:rPr>
          <w:lang w:val="en-GB"/>
        </w:rPr>
        <w:t xml:space="preserve">the previous </w:t>
      </w:r>
      <w:r w:rsidRPr="00C815B9">
        <w:rPr>
          <w:lang w:val="en-GB"/>
        </w:rPr>
        <w:t>section</w:t>
      </w:r>
      <w:r w:rsidR="007729A2" w:rsidRPr="00C815B9">
        <w:rPr>
          <w:lang w:val="en-GB"/>
        </w:rPr>
        <w:t>s</w:t>
      </w:r>
      <w:r w:rsidRPr="00C815B9">
        <w:rPr>
          <w:lang w:val="en-GB"/>
        </w:rPr>
        <w:t xml:space="preserve"> we propose the following:</w:t>
      </w:r>
    </w:p>
    <w:p w14:paraId="4E2FF8DD" w14:textId="0216136F" w:rsidR="00CB6BFE" w:rsidRDefault="006E1C82" w:rsidP="00A73B68">
      <w:pPr>
        <w:pStyle w:val="TableofFigures"/>
        <w:tabs>
          <w:tab w:val="right" w:leader="dot" w:pos="9629"/>
        </w:tabs>
        <w:jc w:val="both"/>
        <w:rPr>
          <w:rFonts w:asciiTheme="minorHAnsi" w:eastAsiaTheme="minorEastAsia" w:hAnsiTheme="minorHAnsi"/>
          <w:b w:val="0"/>
          <w:noProof/>
          <w:sz w:val="22"/>
          <w:lang w:val="en-SE" w:eastAsia="en-SE"/>
        </w:rPr>
      </w:pPr>
      <w:r w:rsidRPr="00C815B9">
        <w:rPr>
          <w:lang w:val="en-GB"/>
        </w:rPr>
        <w:fldChar w:fldCharType="begin"/>
      </w:r>
      <w:r w:rsidRPr="00C815B9">
        <w:rPr>
          <w:lang w:val="en-GB"/>
        </w:rPr>
        <w:instrText xml:space="preserve"> TOC \n \h \z \t "Proposal" \c </w:instrText>
      </w:r>
      <w:r w:rsidRPr="00C815B9">
        <w:rPr>
          <w:lang w:val="en-GB"/>
        </w:rPr>
        <w:fldChar w:fldCharType="separate"/>
      </w:r>
      <w:hyperlink w:anchor="_Toc118727915" w:history="1">
        <w:r w:rsidR="00CB6BFE" w:rsidRPr="00536632">
          <w:rPr>
            <w:rStyle w:val="Hyperlink"/>
            <w:noProof/>
            <w:lang w:val="en-GB"/>
          </w:rPr>
          <w:t>Proposal 1</w:t>
        </w:r>
        <w:r w:rsidR="00CB6BFE">
          <w:rPr>
            <w:rFonts w:asciiTheme="minorHAnsi" w:eastAsiaTheme="minorEastAsia" w:hAnsiTheme="minorHAnsi"/>
            <w:b w:val="0"/>
            <w:noProof/>
            <w:sz w:val="22"/>
            <w:lang w:val="en-SE" w:eastAsia="en-SE"/>
          </w:rPr>
          <w:tab/>
        </w:r>
        <w:r w:rsidR="00CB6BFE" w:rsidRPr="00536632">
          <w:rPr>
            <w:rStyle w:val="Hyperlink"/>
            <w:noProof/>
            <w:lang w:val="en-GB"/>
          </w:rPr>
          <w:t xml:space="preserve">Use the </w:t>
        </w:r>
        <w:r w:rsidR="00CB6BFE" w:rsidRPr="00536632">
          <w:rPr>
            <w:rStyle w:val="Hyperlink"/>
            <w:noProof/>
          </w:rPr>
          <w:t>identified</w:t>
        </w:r>
        <w:r w:rsidR="00CB6BFE" w:rsidRPr="00536632">
          <w:rPr>
            <w:rStyle w:val="Hyperlink"/>
            <w:noProof/>
            <w:lang w:val="en-GB"/>
          </w:rPr>
          <w:t xml:space="preserve"> and agreed IAB-MT capabilities as a starting point for repeater-MT capabilities.</w:t>
        </w:r>
      </w:hyperlink>
    </w:p>
    <w:p w14:paraId="216B0749" w14:textId="6DFDDCED" w:rsidR="00CB6BFE" w:rsidRDefault="00CB6BFE" w:rsidP="00A73B68">
      <w:pPr>
        <w:pStyle w:val="TableofFigures"/>
        <w:tabs>
          <w:tab w:val="right" w:leader="dot" w:pos="9629"/>
        </w:tabs>
        <w:jc w:val="both"/>
        <w:rPr>
          <w:rFonts w:asciiTheme="minorHAnsi" w:eastAsiaTheme="minorEastAsia" w:hAnsiTheme="minorHAnsi"/>
          <w:b w:val="0"/>
          <w:noProof/>
          <w:sz w:val="22"/>
          <w:lang w:val="en-SE" w:eastAsia="en-SE"/>
        </w:rPr>
      </w:pPr>
      <w:hyperlink w:anchor="_Toc118727916" w:history="1">
        <w:r w:rsidRPr="00536632">
          <w:rPr>
            <w:rStyle w:val="Hyperlink"/>
            <w:noProof/>
            <w:lang w:val="en-GB"/>
          </w:rPr>
          <w:t>Proposal 2</w:t>
        </w:r>
        <w:r>
          <w:rPr>
            <w:rFonts w:asciiTheme="minorHAnsi" w:eastAsiaTheme="minorEastAsia" w:hAnsiTheme="minorHAnsi"/>
            <w:b w:val="0"/>
            <w:noProof/>
            <w:sz w:val="22"/>
            <w:lang w:val="en-SE" w:eastAsia="en-SE"/>
          </w:rPr>
          <w:tab/>
        </w:r>
        <w:r w:rsidRPr="00536632">
          <w:rPr>
            <w:rStyle w:val="Hyperlink"/>
            <w:noProof/>
            <w:lang w:val="en-GB"/>
          </w:rPr>
          <w:t>Do not support HARQ feedback for PDCCH carrying side control information.</w:t>
        </w:r>
      </w:hyperlink>
    </w:p>
    <w:p w14:paraId="22033C8F" w14:textId="18FD2385" w:rsidR="00CB6BFE" w:rsidRDefault="00CB6BFE" w:rsidP="00A73B68">
      <w:pPr>
        <w:pStyle w:val="TableofFigures"/>
        <w:tabs>
          <w:tab w:val="right" w:leader="dot" w:pos="9629"/>
        </w:tabs>
        <w:jc w:val="both"/>
        <w:rPr>
          <w:rFonts w:asciiTheme="minorHAnsi" w:eastAsiaTheme="minorEastAsia" w:hAnsiTheme="minorHAnsi"/>
          <w:b w:val="0"/>
          <w:noProof/>
          <w:sz w:val="22"/>
          <w:lang w:val="en-SE" w:eastAsia="en-SE"/>
        </w:rPr>
      </w:pPr>
      <w:hyperlink w:anchor="_Toc118727917" w:history="1">
        <w:r>
          <w:rPr>
            <w:rFonts w:asciiTheme="minorHAnsi" w:eastAsiaTheme="minorEastAsia" w:hAnsiTheme="minorHAnsi"/>
            <w:b w:val="0"/>
            <w:noProof/>
            <w:sz w:val="22"/>
            <w:lang w:val="en-SE" w:eastAsia="en-SE"/>
          </w:rPr>
          <w:tab/>
        </w:r>
        <w:r w:rsidRPr="00536632">
          <w:rPr>
            <w:rStyle w:val="Hyperlink"/>
            <w:noProof/>
            <w:lang w:val="en-GB"/>
          </w:rPr>
          <w:t>As an optional functionality for the NCR-MT, legacy BFR mechanism is supported, if the NCR-MT supports adaptive beams in C-link.</w:t>
        </w:r>
      </w:hyperlink>
    </w:p>
    <w:p w14:paraId="58ACA235" w14:textId="07898F5C" w:rsidR="00C01F33" w:rsidRPr="00C815B9" w:rsidRDefault="006E1C82" w:rsidP="00A73B68">
      <w:pPr>
        <w:pStyle w:val="BodyText"/>
        <w:rPr>
          <w:lang w:val="en-GB"/>
        </w:rPr>
      </w:pPr>
      <w:r w:rsidRPr="00C815B9">
        <w:rPr>
          <w:lang w:val="en-GB"/>
        </w:rPr>
        <w:fldChar w:fldCharType="end"/>
      </w:r>
      <w:r w:rsidRPr="00C815B9">
        <w:rPr>
          <w:lang w:val="en-GB"/>
        </w:rPr>
        <w:t xml:space="preserve"> </w:t>
      </w:r>
    </w:p>
    <w:p w14:paraId="71D79D99" w14:textId="77777777" w:rsidR="00F507D1" w:rsidRPr="00CE0424" w:rsidRDefault="00F507D1" w:rsidP="00CE0424">
      <w:pPr>
        <w:pStyle w:val="Heading1"/>
      </w:pPr>
      <w:bookmarkStart w:id="9" w:name="_In-sequence_SDU_delivery"/>
      <w:bookmarkEnd w:id="9"/>
      <w:r w:rsidRPr="00CE0424">
        <w:t>References</w:t>
      </w:r>
    </w:p>
    <w:p w14:paraId="2CD61C1C" w14:textId="6C8F05CB" w:rsidR="004759FE" w:rsidRPr="00A73B68" w:rsidRDefault="004759FE">
      <w:pPr>
        <w:pStyle w:val="Reference"/>
        <w:rPr>
          <w:lang w:val="en-GB"/>
        </w:rPr>
      </w:pPr>
      <w:bookmarkStart w:id="10" w:name="_Ref114583479"/>
      <w:bookmarkStart w:id="11" w:name="_Ref115341870"/>
      <w:bookmarkStart w:id="12" w:name="_Ref174151459"/>
      <w:bookmarkStart w:id="13" w:name="_Ref189809556"/>
      <w:r w:rsidRPr="00127479">
        <w:rPr>
          <w:lang w:val="en-GB"/>
        </w:rPr>
        <w:t xml:space="preserve">RP-222673, </w:t>
      </w:r>
      <w:r w:rsidRPr="004A19B3">
        <w:rPr>
          <w:rStyle w:val="IvDtabletextChar"/>
          <w:rFonts w:cs="Arial"/>
          <w:iCs/>
          <w:lang w:val="en-GB"/>
        </w:rPr>
        <w:t>New WID on NR network-controlled repeaters, 3GPP TSG RAN #97-e, September 2022</w:t>
      </w:r>
      <w:bookmarkEnd w:id="10"/>
      <w:r>
        <w:rPr>
          <w:rStyle w:val="IvDtabletextChar"/>
          <w:rFonts w:cs="Arial"/>
          <w:iCs/>
          <w:lang w:val="en-GB"/>
        </w:rPr>
        <w:t>.</w:t>
      </w:r>
    </w:p>
    <w:p w14:paraId="57803EAB" w14:textId="434D6662" w:rsidR="000A4714" w:rsidRPr="00ED21CF" w:rsidRDefault="007762BF">
      <w:pPr>
        <w:pStyle w:val="Reference"/>
        <w:rPr>
          <w:rStyle w:val="IvDtabletextChar"/>
          <w:rFonts w:eastAsiaTheme="minorHAnsi"/>
          <w:spacing w:val="0"/>
          <w:lang w:eastAsia="zh-CN"/>
        </w:rPr>
      </w:pPr>
      <w:bookmarkStart w:id="14" w:name="_Ref118278174"/>
      <w:r w:rsidRPr="007762BF">
        <w:t>R1-221234</w:t>
      </w:r>
      <w:r>
        <w:t>4</w:t>
      </w:r>
      <w:r w:rsidR="000A4714">
        <w:t>, “Side-control information and NCR behavior,” Ericsson, RAN1 #111, November 2022.</w:t>
      </w:r>
      <w:bookmarkEnd w:id="11"/>
      <w:bookmarkEnd w:id="14"/>
    </w:p>
    <w:p w14:paraId="5A9A70A2" w14:textId="5739E661" w:rsidR="002179B6" w:rsidRPr="00C815B9" w:rsidRDefault="002179B6" w:rsidP="002179B6">
      <w:pPr>
        <w:pStyle w:val="Reference"/>
        <w:rPr>
          <w:lang w:val="en-GB"/>
        </w:rPr>
      </w:pPr>
      <w:bookmarkStart w:id="15" w:name="_Ref117512099"/>
      <w:bookmarkStart w:id="16" w:name="_Ref118278189"/>
      <w:r w:rsidRPr="00C815B9">
        <w:rPr>
          <w:lang w:val="en-GB"/>
        </w:rPr>
        <w:t>“</w:t>
      </w:r>
      <w:r w:rsidRPr="00C815B9">
        <w:rPr>
          <w:rFonts w:cs="Arial"/>
          <w:lang w:val="en-GB"/>
        </w:rPr>
        <w:t>Chairman’s Notes”, 3GPP TSG RAN1</w:t>
      </w:r>
      <w:r w:rsidRPr="00C815B9" w:rsidDel="003448F4">
        <w:rPr>
          <w:rFonts w:cs="Arial"/>
          <w:lang w:val="en-GB"/>
        </w:rPr>
        <w:t xml:space="preserve"> </w:t>
      </w:r>
      <w:r w:rsidRPr="00C815B9">
        <w:rPr>
          <w:rFonts w:cs="Arial"/>
          <w:lang w:val="en-GB"/>
        </w:rPr>
        <w:t>#110bis-e,</w:t>
      </w:r>
      <w:r w:rsidRPr="00C815B9">
        <w:rPr>
          <w:lang w:val="en-GB"/>
        </w:rPr>
        <w:t xml:space="preserve"> October 2022</w:t>
      </w:r>
      <w:bookmarkEnd w:id="15"/>
      <w:bookmarkEnd w:id="16"/>
      <w:r w:rsidR="00F87344">
        <w:rPr>
          <w:lang w:val="en-GB"/>
        </w:rPr>
        <w:t>.</w:t>
      </w:r>
    </w:p>
    <w:p w14:paraId="338BB5BD" w14:textId="0B5D8CA8" w:rsidR="00033738" w:rsidRPr="00362097" w:rsidRDefault="00033738">
      <w:pPr>
        <w:pStyle w:val="Reference"/>
        <w:rPr>
          <w:lang w:val="en-GB"/>
        </w:rPr>
      </w:pPr>
      <w:bookmarkStart w:id="17" w:name="_Ref117864334"/>
      <w:r w:rsidRPr="00C815B9">
        <w:rPr>
          <w:lang w:val="en-GB"/>
        </w:rPr>
        <w:t>“</w:t>
      </w:r>
      <w:r w:rsidR="00A07D77">
        <w:rPr>
          <w:iCs/>
          <w:lang w:val="en-GB"/>
        </w:rPr>
        <w:t xml:space="preserve">RAN1 </w:t>
      </w:r>
      <w:r w:rsidRPr="00C815B9">
        <w:rPr>
          <w:rFonts w:cs="Arial"/>
          <w:lang w:val="en-GB"/>
        </w:rPr>
        <w:t>Chairman’s Notes”, 3GPP TSG RAN1</w:t>
      </w:r>
      <w:r w:rsidRPr="00C815B9" w:rsidDel="003448F4">
        <w:rPr>
          <w:rFonts w:cs="Arial"/>
          <w:lang w:val="en-GB"/>
        </w:rPr>
        <w:t xml:space="preserve"> </w:t>
      </w:r>
      <w:r w:rsidRPr="00C815B9">
        <w:rPr>
          <w:rFonts w:cs="Arial"/>
          <w:lang w:val="en-GB"/>
        </w:rPr>
        <w:t>#101-e,</w:t>
      </w:r>
      <w:r w:rsidRPr="00C815B9">
        <w:rPr>
          <w:lang w:val="en-GB"/>
        </w:rPr>
        <w:t xml:space="preserve"> </w:t>
      </w:r>
      <w:r w:rsidR="00A07D77">
        <w:rPr>
          <w:iCs/>
          <w:lang w:val="en-GB"/>
        </w:rPr>
        <w:t>June</w:t>
      </w:r>
      <w:r w:rsidRPr="00C815B9">
        <w:rPr>
          <w:lang w:val="en-GB"/>
        </w:rPr>
        <w:t xml:space="preserve"> 2020</w:t>
      </w:r>
      <w:bookmarkEnd w:id="17"/>
      <w:r w:rsidR="00F87344">
        <w:rPr>
          <w:lang w:val="en-GB"/>
        </w:rPr>
        <w:t>.</w:t>
      </w:r>
    </w:p>
    <w:p w14:paraId="1F706F8F" w14:textId="3B1FB627" w:rsidR="00362097" w:rsidRPr="00C815B9" w:rsidRDefault="00AF3127">
      <w:pPr>
        <w:pStyle w:val="Reference"/>
        <w:rPr>
          <w:lang w:val="en-GB"/>
        </w:rPr>
      </w:pPr>
      <w:bookmarkStart w:id="18" w:name="_Ref118197917"/>
      <w:r>
        <w:rPr>
          <w:iCs/>
          <w:lang w:val="en-GB"/>
        </w:rPr>
        <w:t>TR 38.822, “</w:t>
      </w:r>
      <w:r w:rsidRPr="00AF3127">
        <w:rPr>
          <w:iCs/>
          <w:lang w:val="en-GB"/>
        </w:rPr>
        <w:t>User Equipment (UE) feature list</w:t>
      </w:r>
      <w:r>
        <w:rPr>
          <w:iCs/>
          <w:lang w:val="en-GB"/>
        </w:rPr>
        <w:t>”, 3GPP, V16.3.0, March 2022</w:t>
      </w:r>
      <w:bookmarkEnd w:id="18"/>
      <w:r w:rsidR="00F87344">
        <w:rPr>
          <w:iCs/>
          <w:lang w:val="en-GB"/>
        </w:rPr>
        <w:t>.</w:t>
      </w:r>
    </w:p>
    <w:bookmarkEnd w:id="12"/>
    <w:bookmarkEnd w:id="13"/>
    <w:p w14:paraId="6E3B3B3C" w14:textId="429B9F61" w:rsidR="000B016D" w:rsidRPr="00C815B9" w:rsidRDefault="000B016D" w:rsidP="00F56AE9">
      <w:pPr>
        <w:pStyle w:val="BodyText"/>
        <w:rPr>
          <w:lang w:val="en-GB"/>
        </w:rPr>
      </w:pPr>
    </w:p>
    <w:sectPr w:rsidR="000B016D" w:rsidRPr="00C815B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3DF50" w14:textId="77777777" w:rsidR="00FC4AFC" w:rsidRDefault="00FC4AFC">
      <w:r>
        <w:separator/>
      </w:r>
    </w:p>
  </w:endnote>
  <w:endnote w:type="continuationSeparator" w:id="0">
    <w:p w14:paraId="1B62F2BF" w14:textId="77777777" w:rsidR="00FC4AFC" w:rsidRDefault="00FC4AFC">
      <w:r>
        <w:continuationSeparator/>
      </w:r>
    </w:p>
  </w:endnote>
  <w:endnote w:type="continuationNotice" w:id="1">
    <w:p w14:paraId="37A83118" w14:textId="77777777" w:rsidR="00FC4AFC" w:rsidRDefault="00FC4A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448F0" w14:textId="77777777" w:rsidR="00FC4AFC" w:rsidRDefault="00FC4AFC">
      <w:r>
        <w:separator/>
      </w:r>
    </w:p>
  </w:footnote>
  <w:footnote w:type="continuationSeparator" w:id="0">
    <w:p w14:paraId="2906F2C6" w14:textId="77777777" w:rsidR="00FC4AFC" w:rsidRDefault="00FC4AFC">
      <w:r>
        <w:continuationSeparator/>
      </w:r>
    </w:p>
  </w:footnote>
  <w:footnote w:type="continuationNotice" w:id="1">
    <w:p w14:paraId="29DE1F43" w14:textId="77777777" w:rsidR="00FC4AFC" w:rsidRDefault="00FC4A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6E4C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8EB4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B41AE"/>
    <w:multiLevelType w:val="hybridMultilevel"/>
    <w:tmpl w:val="819A6896"/>
    <w:lvl w:ilvl="0" w:tplc="0409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C0A0C"/>
    <w:multiLevelType w:val="hybridMultilevel"/>
    <w:tmpl w:val="3546081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860F07"/>
    <w:multiLevelType w:val="hybridMultilevel"/>
    <w:tmpl w:val="F72E2D18"/>
    <w:lvl w:ilvl="0" w:tplc="E0CC8880">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35715D1"/>
    <w:multiLevelType w:val="hybridMultilevel"/>
    <w:tmpl w:val="8E525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464F50"/>
    <w:multiLevelType w:val="hybridMultilevel"/>
    <w:tmpl w:val="EB9EA5CA"/>
    <w:lvl w:ilvl="0" w:tplc="24DC77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3"/>
  </w:num>
  <w:num w:numId="6">
    <w:abstractNumId w:val="20"/>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8"/>
  </w:num>
  <w:num w:numId="18">
    <w:abstractNumId w:val="11"/>
  </w:num>
  <w:num w:numId="19">
    <w:abstractNumId w:val="6"/>
  </w:num>
  <w:num w:numId="20">
    <w:abstractNumId w:val="30"/>
  </w:num>
  <w:num w:numId="21">
    <w:abstractNumId w:val="15"/>
  </w:num>
  <w:num w:numId="22">
    <w:abstractNumId w:val="28"/>
  </w:num>
  <w:num w:numId="23">
    <w:abstractNumId w:val="27"/>
  </w:num>
  <w:num w:numId="24">
    <w:abstractNumId w:val="21"/>
  </w:num>
  <w:num w:numId="25">
    <w:abstractNumId w:val="3"/>
  </w:num>
  <w:num w:numId="26">
    <w:abstractNumId w:val="5"/>
  </w:num>
  <w:num w:numId="27">
    <w:abstractNumId w:val="5"/>
  </w:num>
  <w:num w:numId="28">
    <w:abstractNumId w:val="7"/>
  </w:num>
  <w:num w:numId="29">
    <w:abstractNumId w:val="16"/>
  </w:num>
  <w:num w:numId="30">
    <w:abstractNumId w:val="9"/>
  </w:num>
  <w:num w:numId="31">
    <w:abstractNumId w:val="29"/>
  </w:num>
  <w:num w:numId="32">
    <w:abstractNumId w:val="10"/>
  </w:num>
  <w:num w:numId="3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0930"/>
    <w:rsid w:val="00011B28"/>
    <w:rsid w:val="00015D15"/>
    <w:rsid w:val="00022A9E"/>
    <w:rsid w:val="0002564D"/>
    <w:rsid w:val="00025ECA"/>
    <w:rsid w:val="000325B8"/>
    <w:rsid w:val="00033738"/>
    <w:rsid w:val="00034C15"/>
    <w:rsid w:val="00036BA1"/>
    <w:rsid w:val="000422E2"/>
    <w:rsid w:val="00042F22"/>
    <w:rsid w:val="00043BDE"/>
    <w:rsid w:val="000444EF"/>
    <w:rsid w:val="00050FC2"/>
    <w:rsid w:val="00052A07"/>
    <w:rsid w:val="000534E3"/>
    <w:rsid w:val="0005606A"/>
    <w:rsid w:val="00057117"/>
    <w:rsid w:val="000616E7"/>
    <w:rsid w:val="0006487E"/>
    <w:rsid w:val="00065E1A"/>
    <w:rsid w:val="00077902"/>
    <w:rsid w:val="00077E5F"/>
    <w:rsid w:val="0008036A"/>
    <w:rsid w:val="00081AE6"/>
    <w:rsid w:val="000855EB"/>
    <w:rsid w:val="00085B52"/>
    <w:rsid w:val="000866F2"/>
    <w:rsid w:val="0009009F"/>
    <w:rsid w:val="00091557"/>
    <w:rsid w:val="000924C1"/>
    <w:rsid w:val="000924F0"/>
    <w:rsid w:val="000928A6"/>
    <w:rsid w:val="00093474"/>
    <w:rsid w:val="0009510F"/>
    <w:rsid w:val="000A1B7B"/>
    <w:rsid w:val="000A4714"/>
    <w:rsid w:val="000A53CC"/>
    <w:rsid w:val="000A56F2"/>
    <w:rsid w:val="000A58F5"/>
    <w:rsid w:val="000B016D"/>
    <w:rsid w:val="000B22C2"/>
    <w:rsid w:val="000B2719"/>
    <w:rsid w:val="000B3A8F"/>
    <w:rsid w:val="000B4AB9"/>
    <w:rsid w:val="000B58C3"/>
    <w:rsid w:val="000B61E9"/>
    <w:rsid w:val="000C165A"/>
    <w:rsid w:val="000C2E19"/>
    <w:rsid w:val="000D0D07"/>
    <w:rsid w:val="000D4797"/>
    <w:rsid w:val="000D4A66"/>
    <w:rsid w:val="000E0527"/>
    <w:rsid w:val="000E1E92"/>
    <w:rsid w:val="000F06D6"/>
    <w:rsid w:val="000F0EB1"/>
    <w:rsid w:val="000F1106"/>
    <w:rsid w:val="000F3BE9"/>
    <w:rsid w:val="000F3F6C"/>
    <w:rsid w:val="000F41F5"/>
    <w:rsid w:val="000F6DF3"/>
    <w:rsid w:val="001005FF"/>
    <w:rsid w:val="00106216"/>
    <w:rsid w:val="001062FB"/>
    <w:rsid w:val="001063E6"/>
    <w:rsid w:val="00113CF4"/>
    <w:rsid w:val="001153EA"/>
    <w:rsid w:val="00115643"/>
    <w:rsid w:val="00116765"/>
    <w:rsid w:val="00117AB0"/>
    <w:rsid w:val="0012141E"/>
    <w:rsid w:val="001219F5"/>
    <w:rsid w:val="00121A20"/>
    <w:rsid w:val="0012377F"/>
    <w:rsid w:val="0012379B"/>
    <w:rsid w:val="00124314"/>
    <w:rsid w:val="00126B4A"/>
    <w:rsid w:val="00126C90"/>
    <w:rsid w:val="00132FD0"/>
    <w:rsid w:val="001344C0"/>
    <w:rsid w:val="001346FA"/>
    <w:rsid w:val="00135252"/>
    <w:rsid w:val="00135709"/>
    <w:rsid w:val="00137AB5"/>
    <w:rsid w:val="00137F0B"/>
    <w:rsid w:val="00151E23"/>
    <w:rsid w:val="001526E0"/>
    <w:rsid w:val="001551B5"/>
    <w:rsid w:val="00162070"/>
    <w:rsid w:val="001621F4"/>
    <w:rsid w:val="001659C1"/>
    <w:rsid w:val="00167F67"/>
    <w:rsid w:val="00173A8E"/>
    <w:rsid w:val="0017502C"/>
    <w:rsid w:val="0018143F"/>
    <w:rsid w:val="00181FF8"/>
    <w:rsid w:val="001859A2"/>
    <w:rsid w:val="00190AC1"/>
    <w:rsid w:val="0019341A"/>
    <w:rsid w:val="00193DB5"/>
    <w:rsid w:val="001960A2"/>
    <w:rsid w:val="0019725B"/>
    <w:rsid w:val="001979A3"/>
    <w:rsid w:val="00197DF9"/>
    <w:rsid w:val="001A1987"/>
    <w:rsid w:val="001A2564"/>
    <w:rsid w:val="001A6173"/>
    <w:rsid w:val="001A6CBA"/>
    <w:rsid w:val="001B0D97"/>
    <w:rsid w:val="001B5A5D"/>
    <w:rsid w:val="001C1CE5"/>
    <w:rsid w:val="001C3D2A"/>
    <w:rsid w:val="001D1485"/>
    <w:rsid w:val="001D504B"/>
    <w:rsid w:val="001D51BA"/>
    <w:rsid w:val="001D53E7"/>
    <w:rsid w:val="001D6342"/>
    <w:rsid w:val="001D6D53"/>
    <w:rsid w:val="001E58E2"/>
    <w:rsid w:val="001E6895"/>
    <w:rsid w:val="001E7AED"/>
    <w:rsid w:val="001F3916"/>
    <w:rsid w:val="001F4D9C"/>
    <w:rsid w:val="001F54C5"/>
    <w:rsid w:val="001F5852"/>
    <w:rsid w:val="001F662C"/>
    <w:rsid w:val="001F7074"/>
    <w:rsid w:val="00200490"/>
    <w:rsid w:val="00201F3A"/>
    <w:rsid w:val="00203F96"/>
    <w:rsid w:val="002051A6"/>
    <w:rsid w:val="002069B2"/>
    <w:rsid w:val="00207FA3"/>
    <w:rsid w:val="0021037A"/>
    <w:rsid w:val="00214DA8"/>
    <w:rsid w:val="00215423"/>
    <w:rsid w:val="002158FA"/>
    <w:rsid w:val="002179B6"/>
    <w:rsid w:val="00220600"/>
    <w:rsid w:val="002224DB"/>
    <w:rsid w:val="00223FCB"/>
    <w:rsid w:val="002252C3"/>
    <w:rsid w:val="00225C54"/>
    <w:rsid w:val="0022694C"/>
    <w:rsid w:val="00230765"/>
    <w:rsid w:val="00230D18"/>
    <w:rsid w:val="002319E4"/>
    <w:rsid w:val="00231D90"/>
    <w:rsid w:val="00235632"/>
    <w:rsid w:val="00235872"/>
    <w:rsid w:val="00241559"/>
    <w:rsid w:val="002435B3"/>
    <w:rsid w:val="002458EB"/>
    <w:rsid w:val="00245F08"/>
    <w:rsid w:val="002500C8"/>
    <w:rsid w:val="00256F2A"/>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D34"/>
    <w:rsid w:val="00292EB7"/>
    <w:rsid w:val="00296227"/>
    <w:rsid w:val="00296F44"/>
    <w:rsid w:val="0029777D"/>
    <w:rsid w:val="002A055E"/>
    <w:rsid w:val="002A11BD"/>
    <w:rsid w:val="002A1673"/>
    <w:rsid w:val="002A1D4E"/>
    <w:rsid w:val="002A2869"/>
    <w:rsid w:val="002A4911"/>
    <w:rsid w:val="002A578E"/>
    <w:rsid w:val="002B24D6"/>
    <w:rsid w:val="002C41E6"/>
    <w:rsid w:val="002D071A"/>
    <w:rsid w:val="002D34B2"/>
    <w:rsid w:val="002D48B0"/>
    <w:rsid w:val="002D5B37"/>
    <w:rsid w:val="002D7637"/>
    <w:rsid w:val="002D7915"/>
    <w:rsid w:val="002E17F2"/>
    <w:rsid w:val="002E7CAE"/>
    <w:rsid w:val="002F13E4"/>
    <w:rsid w:val="002F2771"/>
    <w:rsid w:val="002F37A9"/>
    <w:rsid w:val="002F55F5"/>
    <w:rsid w:val="00301CE6"/>
    <w:rsid w:val="0030256B"/>
    <w:rsid w:val="0030501F"/>
    <w:rsid w:val="00306584"/>
    <w:rsid w:val="00307BA1"/>
    <w:rsid w:val="00311702"/>
    <w:rsid w:val="00311E82"/>
    <w:rsid w:val="00313FD6"/>
    <w:rsid w:val="003143BD"/>
    <w:rsid w:val="00315363"/>
    <w:rsid w:val="00315479"/>
    <w:rsid w:val="00316A65"/>
    <w:rsid w:val="003203ED"/>
    <w:rsid w:val="003209E5"/>
    <w:rsid w:val="00322C9F"/>
    <w:rsid w:val="00324D23"/>
    <w:rsid w:val="003264A3"/>
    <w:rsid w:val="00331751"/>
    <w:rsid w:val="00334579"/>
    <w:rsid w:val="00335858"/>
    <w:rsid w:val="00336376"/>
    <w:rsid w:val="00336BDA"/>
    <w:rsid w:val="00337517"/>
    <w:rsid w:val="003377C3"/>
    <w:rsid w:val="00342BD7"/>
    <w:rsid w:val="003436EC"/>
    <w:rsid w:val="00346DB5"/>
    <w:rsid w:val="003477B1"/>
    <w:rsid w:val="00350DAC"/>
    <w:rsid w:val="00350DE5"/>
    <w:rsid w:val="003520BC"/>
    <w:rsid w:val="00353B1E"/>
    <w:rsid w:val="00357380"/>
    <w:rsid w:val="00357C51"/>
    <w:rsid w:val="003602D9"/>
    <w:rsid w:val="003604CE"/>
    <w:rsid w:val="00362097"/>
    <w:rsid w:val="00362CA8"/>
    <w:rsid w:val="00364C4D"/>
    <w:rsid w:val="00370E47"/>
    <w:rsid w:val="00370E65"/>
    <w:rsid w:val="003742AC"/>
    <w:rsid w:val="003746FF"/>
    <w:rsid w:val="00374C28"/>
    <w:rsid w:val="00377CE1"/>
    <w:rsid w:val="003836C5"/>
    <w:rsid w:val="00385BF0"/>
    <w:rsid w:val="003939FF"/>
    <w:rsid w:val="003944CA"/>
    <w:rsid w:val="003A2223"/>
    <w:rsid w:val="003A2A0F"/>
    <w:rsid w:val="003A3358"/>
    <w:rsid w:val="003A45A1"/>
    <w:rsid w:val="003A5B0A"/>
    <w:rsid w:val="003A6BAC"/>
    <w:rsid w:val="003A70A4"/>
    <w:rsid w:val="003A7EF3"/>
    <w:rsid w:val="003B159C"/>
    <w:rsid w:val="003B369F"/>
    <w:rsid w:val="003B36A3"/>
    <w:rsid w:val="003B64BB"/>
    <w:rsid w:val="003B7FE5"/>
    <w:rsid w:val="003C11C8"/>
    <w:rsid w:val="003C2702"/>
    <w:rsid w:val="003C39F1"/>
    <w:rsid w:val="003C7806"/>
    <w:rsid w:val="003D109F"/>
    <w:rsid w:val="003D2478"/>
    <w:rsid w:val="003D3C45"/>
    <w:rsid w:val="003D5B1F"/>
    <w:rsid w:val="003E092C"/>
    <w:rsid w:val="003E15FA"/>
    <w:rsid w:val="003E55E4"/>
    <w:rsid w:val="003E74E3"/>
    <w:rsid w:val="003F05C7"/>
    <w:rsid w:val="003F0FAF"/>
    <w:rsid w:val="003F2CD4"/>
    <w:rsid w:val="003F2E5D"/>
    <w:rsid w:val="003F6BBE"/>
    <w:rsid w:val="004000E8"/>
    <w:rsid w:val="00401520"/>
    <w:rsid w:val="004029DE"/>
    <w:rsid w:val="00402E2B"/>
    <w:rsid w:val="0040512B"/>
    <w:rsid w:val="00405CA5"/>
    <w:rsid w:val="00405ED2"/>
    <w:rsid w:val="00407CD3"/>
    <w:rsid w:val="00410134"/>
    <w:rsid w:val="00410A27"/>
    <w:rsid w:val="00410B72"/>
    <w:rsid w:val="00410F18"/>
    <w:rsid w:val="00412500"/>
    <w:rsid w:val="0041263E"/>
    <w:rsid w:val="00413AAC"/>
    <w:rsid w:val="00413E92"/>
    <w:rsid w:val="00421105"/>
    <w:rsid w:val="00422285"/>
    <w:rsid w:val="00422AA4"/>
    <w:rsid w:val="00424215"/>
    <w:rsid w:val="004242F4"/>
    <w:rsid w:val="00427248"/>
    <w:rsid w:val="00437447"/>
    <w:rsid w:val="00441A92"/>
    <w:rsid w:val="004431DC"/>
    <w:rsid w:val="00444F56"/>
    <w:rsid w:val="00446488"/>
    <w:rsid w:val="004517AA"/>
    <w:rsid w:val="00452CAC"/>
    <w:rsid w:val="00457565"/>
    <w:rsid w:val="00457B71"/>
    <w:rsid w:val="00457D26"/>
    <w:rsid w:val="00461EF0"/>
    <w:rsid w:val="00464689"/>
    <w:rsid w:val="004669E2"/>
    <w:rsid w:val="00470C31"/>
    <w:rsid w:val="0047116E"/>
    <w:rsid w:val="00471DE0"/>
    <w:rsid w:val="004734D0"/>
    <w:rsid w:val="00474C46"/>
    <w:rsid w:val="0047556B"/>
    <w:rsid w:val="004759FE"/>
    <w:rsid w:val="00477768"/>
    <w:rsid w:val="0049084A"/>
    <w:rsid w:val="0049288B"/>
    <w:rsid w:val="00492BC5"/>
    <w:rsid w:val="00494ACE"/>
    <w:rsid w:val="004964F1"/>
    <w:rsid w:val="004A16BC"/>
    <w:rsid w:val="004A2B94"/>
    <w:rsid w:val="004B266E"/>
    <w:rsid w:val="004B3024"/>
    <w:rsid w:val="004B5EF5"/>
    <w:rsid w:val="004B6F6A"/>
    <w:rsid w:val="004B7C0C"/>
    <w:rsid w:val="004C1C8A"/>
    <w:rsid w:val="004C3898"/>
    <w:rsid w:val="004C4414"/>
    <w:rsid w:val="004D1CBD"/>
    <w:rsid w:val="004D36B1"/>
    <w:rsid w:val="004D7BAD"/>
    <w:rsid w:val="004D7EBD"/>
    <w:rsid w:val="004E2680"/>
    <w:rsid w:val="004E28F9"/>
    <w:rsid w:val="004E462E"/>
    <w:rsid w:val="004E56DC"/>
    <w:rsid w:val="004E76F4"/>
    <w:rsid w:val="004F0B4E"/>
    <w:rsid w:val="004F0B6C"/>
    <w:rsid w:val="004F2078"/>
    <w:rsid w:val="004F4DA3"/>
    <w:rsid w:val="004F762D"/>
    <w:rsid w:val="005014AB"/>
    <w:rsid w:val="0050393E"/>
    <w:rsid w:val="005057F4"/>
    <w:rsid w:val="00506557"/>
    <w:rsid w:val="0050677A"/>
    <w:rsid w:val="005108D8"/>
    <w:rsid w:val="005116F9"/>
    <w:rsid w:val="005153A7"/>
    <w:rsid w:val="005219CF"/>
    <w:rsid w:val="00532582"/>
    <w:rsid w:val="005340F3"/>
    <w:rsid w:val="00534B59"/>
    <w:rsid w:val="00536759"/>
    <w:rsid w:val="00537C62"/>
    <w:rsid w:val="005418A5"/>
    <w:rsid w:val="005429CA"/>
    <w:rsid w:val="00546970"/>
    <w:rsid w:val="00554E19"/>
    <w:rsid w:val="0056121F"/>
    <w:rsid w:val="005659D7"/>
    <w:rsid w:val="00567847"/>
    <w:rsid w:val="00572505"/>
    <w:rsid w:val="00582809"/>
    <w:rsid w:val="005831CA"/>
    <w:rsid w:val="0058798C"/>
    <w:rsid w:val="005900FA"/>
    <w:rsid w:val="005923AB"/>
    <w:rsid w:val="005935A4"/>
    <w:rsid w:val="005948C2"/>
    <w:rsid w:val="00595DCA"/>
    <w:rsid w:val="0059779B"/>
    <w:rsid w:val="005A05F5"/>
    <w:rsid w:val="005A209A"/>
    <w:rsid w:val="005A36B2"/>
    <w:rsid w:val="005A662D"/>
    <w:rsid w:val="005B1409"/>
    <w:rsid w:val="005B17BA"/>
    <w:rsid w:val="005B35D7"/>
    <w:rsid w:val="005B392A"/>
    <w:rsid w:val="005B3AA3"/>
    <w:rsid w:val="005B6F83"/>
    <w:rsid w:val="005C3571"/>
    <w:rsid w:val="005C3BD2"/>
    <w:rsid w:val="005C74FB"/>
    <w:rsid w:val="005D1602"/>
    <w:rsid w:val="005D764C"/>
    <w:rsid w:val="005E385F"/>
    <w:rsid w:val="005E5B81"/>
    <w:rsid w:val="005F2CB1"/>
    <w:rsid w:val="005F3025"/>
    <w:rsid w:val="005F527B"/>
    <w:rsid w:val="005F5911"/>
    <w:rsid w:val="005F618C"/>
    <w:rsid w:val="005F70BD"/>
    <w:rsid w:val="005F77D1"/>
    <w:rsid w:val="0060283C"/>
    <w:rsid w:val="00604F14"/>
    <w:rsid w:val="00611B83"/>
    <w:rsid w:val="00612640"/>
    <w:rsid w:val="00613257"/>
    <w:rsid w:val="00620A71"/>
    <w:rsid w:val="00620D80"/>
    <w:rsid w:val="00622BE7"/>
    <w:rsid w:val="006234A6"/>
    <w:rsid w:val="00627C96"/>
    <w:rsid w:val="00630001"/>
    <w:rsid w:val="006311B3"/>
    <w:rsid w:val="006325F6"/>
    <w:rsid w:val="0063284C"/>
    <w:rsid w:val="0063478B"/>
    <w:rsid w:val="00636398"/>
    <w:rsid w:val="006368D3"/>
    <w:rsid w:val="006377EC"/>
    <w:rsid w:val="0064151F"/>
    <w:rsid w:val="00641533"/>
    <w:rsid w:val="0064208D"/>
    <w:rsid w:val="00643475"/>
    <w:rsid w:val="0064396A"/>
    <w:rsid w:val="0064624E"/>
    <w:rsid w:val="00650AB9"/>
    <w:rsid w:val="00651BC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8C5"/>
    <w:rsid w:val="00675C72"/>
    <w:rsid w:val="006771F9"/>
    <w:rsid w:val="006776D7"/>
    <w:rsid w:val="00681003"/>
    <w:rsid w:val="006817C9"/>
    <w:rsid w:val="00683ECE"/>
    <w:rsid w:val="00695B95"/>
    <w:rsid w:val="00695DBB"/>
    <w:rsid w:val="00695FC2"/>
    <w:rsid w:val="00696949"/>
    <w:rsid w:val="00697052"/>
    <w:rsid w:val="006A071A"/>
    <w:rsid w:val="006A1D4D"/>
    <w:rsid w:val="006A46FB"/>
    <w:rsid w:val="006A5E28"/>
    <w:rsid w:val="006A697B"/>
    <w:rsid w:val="006A7AFF"/>
    <w:rsid w:val="006B1816"/>
    <w:rsid w:val="006B2099"/>
    <w:rsid w:val="006B50CF"/>
    <w:rsid w:val="006C03B8"/>
    <w:rsid w:val="006C20CC"/>
    <w:rsid w:val="006C5EC9"/>
    <w:rsid w:val="006C6059"/>
    <w:rsid w:val="006C7148"/>
    <w:rsid w:val="006C7522"/>
    <w:rsid w:val="006D0A73"/>
    <w:rsid w:val="006D1DFB"/>
    <w:rsid w:val="006D6F08"/>
    <w:rsid w:val="006D77A4"/>
    <w:rsid w:val="006E062C"/>
    <w:rsid w:val="006E1A35"/>
    <w:rsid w:val="006E1C82"/>
    <w:rsid w:val="006E28B7"/>
    <w:rsid w:val="006E2A9B"/>
    <w:rsid w:val="006E3310"/>
    <w:rsid w:val="006E4E39"/>
    <w:rsid w:val="006E565E"/>
    <w:rsid w:val="006E673D"/>
    <w:rsid w:val="006E7D3B"/>
    <w:rsid w:val="006F1B70"/>
    <w:rsid w:val="006F341D"/>
    <w:rsid w:val="006F3CDE"/>
    <w:rsid w:val="006F581A"/>
    <w:rsid w:val="006F58D4"/>
    <w:rsid w:val="006F6582"/>
    <w:rsid w:val="006F6613"/>
    <w:rsid w:val="00701386"/>
    <w:rsid w:val="0070346E"/>
    <w:rsid w:val="00703B52"/>
    <w:rsid w:val="00704EDB"/>
    <w:rsid w:val="00706101"/>
    <w:rsid w:val="00707072"/>
    <w:rsid w:val="00707D61"/>
    <w:rsid w:val="00712287"/>
    <w:rsid w:val="00712772"/>
    <w:rsid w:val="007129C4"/>
    <w:rsid w:val="007148D3"/>
    <w:rsid w:val="00715B9A"/>
    <w:rsid w:val="00721B32"/>
    <w:rsid w:val="007257D0"/>
    <w:rsid w:val="00726EA6"/>
    <w:rsid w:val="00727208"/>
    <w:rsid w:val="00727680"/>
    <w:rsid w:val="007348B1"/>
    <w:rsid w:val="00734B40"/>
    <w:rsid w:val="007362A6"/>
    <w:rsid w:val="00736D7D"/>
    <w:rsid w:val="00737201"/>
    <w:rsid w:val="00740E58"/>
    <w:rsid w:val="0074440C"/>
    <w:rsid w:val="007445A0"/>
    <w:rsid w:val="0074524B"/>
    <w:rsid w:val="00747D8B"/>
    <w:rsid w:val="00750120"/>
    <w:rsid w:val="00751228"/>
    <w:rsid w:val="007563CC"/>
    <w:rsid w:val="007571E1"/>
    <w:rsid w:val="007604B2"/>
    <w:rsid w:val="00765281"/>
    <w:rsid w:val="007669B5"/>
    <w:rsid w:val="00766BAD"/>
    <w:rsid w:val="007729A2"/>
    <w:rsid w:val="007747B3"/>
    <w:rsid w:val="00774B5D"/>
    <w:rsid w:val="007755F2"/>
    <w:rsid w:val="007762BF"/>
    <w:rsid w:val="00776971"/>
    <w:rsid w:val="00780A80"/>
    <w:rsid w:val="0078177E"/>
    <w:rsid w:val="0078304C"/>
    <w:rsid w:val="00783673"/>
    <w:rsid w:val="00785490"/>
    <w:rsid w:val="007925EA"/>
    <w:rsid w:val="00792D28"/>
    <w:rsid w:val="00793CD8"/>
    <w:rsid w:val="00794552"/>
    <w:rsid w:val="00795C92"/>
    <w:rsid w:val="00796231"/>
    <w:rsid w:val="00797173"/>
    <w:rsid w:val="007A0C77"/>
    <w:rsid w:val="007A1CB3"/>
    <w:rsid w:val="007A306F"/>
    <w:rsid w:val="007A326D"/>
    <w:rsid w:val="007A43A6"/>
    <w:rsid w:val="007A44B6"/>
    <w:rsid w:val="007A58A6"/>
    <w:rsid w:val="007B23C8"/>
    <w:rsid w:val="007B3D2D"/>
    <w:rsid w:val="007B50AE"/>
    <w:rsid w:val="007B51DF"/>
    <w:rsid w:val="007C05DD"/>
    <w:rsid w:val="007C3D18"/>
    <w:rsid w:val="007C60BF"/>
    <w:rsid w:val="007C64A2"/>
    <w:rsid w:val="007C6A07"/>
    <w:rsid w:val="007C75A1"/>
    <w:rsid w:val="007C77A5"/>
    <w:rsid w:val="007D04E5"/>
    <w:rsid w:val="007D5901"/>
    <w:rsid w:val="007D7526"/>
    <w:rsid w:val="007E4610"/>
    <w:rsid w:val="007E4715"/>
    <w:rsid w:val="007E505B"/>
    <w:rsid w:val="007E7091"/>
    <w:rsid w:val="00803FAE"/>
    <w:rsid w:val="0080605F"/>
    <w:rsid w:val="00807786"/>
    <w:rsid w:val="00810681"/>
    <w:rsid w:val="00811FCB"/>
    <w:rsid w:val="008158D6"/>
    <w:rsid w:val="00817196"/>
    <w:rsid w:val="008235DB"/>
    <w:rsid w:val="00824AB4"/>
    <w:rsid w:val="00825C42"/>
    <w:rsid w:val="00825D25"/>
    <w:rsid w:val="00827D6F"/>
    <w:rsid w:val="0083034F"/>
    <w:rsid w:val="008323FC"/>
    <w:rsid w:val="00837431"/>
    <w:rsid w:val="008376AC"/>
    <w:rsid w:val="00841994"/>
    <w:rsid w:val="008444E8"/>
    <w:rsid w:val="00844E80"/>
    <w:rsid w:val="00846FE7"/>
    <w:rsid w:val="008556A0"/>
    <w:rsid w:val="008564FC"/>
    <w:rsid w:val="00856911"/>
    <w:rsid w:val="00857AFD"/>
    <w:rsid w:val="00857F89"/>
    <w:rsid w:val="0086732D"/>
    <w:rsid w:val="008677FD"/>
    <w:rsid w:val="008706D4"/>
    <w:rsid w:val="00870BB8"/>
    <w:rsid w:val="00870F8A"/>
    <w:rsid w:val="008719A4"/>
    <w:rsid w:val="00871D23"/>
    <w:rsid w:val="00874312"/>
    <w:rsid w:val="0087437C"/>
    <w:rsid w:val="00875CD7"/>
    <w:rsid w:val="00876B4D"/>
    <w:rsid w:val="00877F18"/>
    <w:rsid w:val="00882B00"/>
    <w:rsid w:val="00890BFD"/>
    <w:rsid w:val="008931F3"/>
    <w:rsid w:val="008941E3"/>
    <w:rsid w:val="00894A88"/>
    <w:rsid w:val="00895386"/>
    <w:rsid w:val="00896E82"/>
    <w:rsid w:val="008A2073"/>
    <w:rsid w:val="008A21FF"/>
    <w:rsid w:val="008A2CE2"/>
    <w:rsid w:val="008A30AC"/>
    <w:rsid w:val="008A44B8"/>
    <w:rsid w:val="008A51A8"/>
    <w:rsid w:val="008A533D"/>
    <w:rsid w:val="008A54C7"/>
    <w:rsid w:val="008A77D8"/>
    <w:rsid w:val="008B0483"/>
    <w:rsid w:val="008B120C"/>
    <w:rsid w:val="008B4218"/>
    <w:rsid w:val="008B51A0"/>
    <w:rsid w:val="008B592A"/>
    <w:rsid w:val="008B6209"/>
    <w:rsid w:val="008B6EFA"/>
    <w:rsid w:val="008B7B5C"/>
    <w:rsid w:val="008C0C99"/>
    <w:rsid w:val="008C2017"/>
    <w:rsid w:val="008C4958"/>
    <w:rsid w:val="008C4BAA"/>
    <w:rsid w:val="008C6AE8"/>
    <w:rsid w:val="008C7573"/>
    <w:rsid w:val="008D00A5"/>
    <w:rsid w:val="008D34F1"/>
    <w:rsid w:val="008D39D8"/>
    <w:rsid w:val="008D65D6"/>
    <w:rsid w:val="008D6D1A"/>
    <w:rsid w:val="008D79A4"/>
    <w:rsid w:val="008E065E"/>
    <w:rsid w:val="008E0927"/>
    <w:rsid w:val="008E1909"/>
    <w:rsid w:val="008F1C4E"/>
    <w:rsid w:val="008F1EAB"/>
    <w:rsid w:val="008F33DC"/>
    <w:rsid w:val="008F477F"/>
    <w:rsid w:val="008F568B"/>
    <w:rsid w:val="008F7356"/>
    <w:rsid w:val="00902350"/>
    <w:rsid w:val="0090336B"/>
    <w:rsid w:val="009053AA"/>
    <w:rsid w:val="00906939"/>
    <w:rsid w:val="00906F88"/>
    <w:rsid w:val="009072C0"/>
    <w:rsid w:val="00910B7D"/>
    <w:rsid w:val="00910D30"/>
    <w:rsid w:val="00911DFB"/>
    <w:rsid w:val="009139D9"/>
    <w:rsid w:val="00914AD8"/>
    <w:rsid w:val="00916079"/>
    <w:rsid w:val="00917CE9"/>
    <w:rsid w:val="0092075B"/>
    <w:rsid w:val="00920BF2"/>
    <w:rsid w:val="00922010"/>
    <w:rsid w:val="00923422"/>
    <w:rsid w:val="00923641"/>
    <w:rsid w:val="00931BD9"/>
    <w:rsid w:val="009329BE"/>
    <w:rsid w:val="009368F3"/>
    <w:rsid w:val="00936AFE"/>
    <w:rsid w:val="00941636"/>
    <w:rsid w:val="00943742"/>
    <w:rsid w:val="00945C05"/>
    <w:rsid w:val="00946945"/>
    <w:rsid w:val="00947713"/>
    <w:rsid w:val="009508E9"/>
    <w:rsid w:val="00950DE7"/>
    <w:rsid w:val="00953920"/>
    <w:rsid w:val="00953D47"/>
    <w:rsid w:val="009553C3"/>
    <w:rsid w:val="0095681E"/>
    <w:rsid w:val="009572D4"/>
    <w:rsid w:val="00961921"/>
    <w:rsid w:val="0096430A"/>
    <w:rsid w:val="0096554B"/>
    <w:rsid w:val="0096584A"/>
    <w:rsid w:val="009658F8"/>
    <w:rsid w:val="00971F08"/>
    <w:rsid w:val="0097603D"/>
    <w:rsid w:val="00976949"/>
    <w:rsid w:val="00980477"/>
    <w:rsid w:val="009813B9"/>
    <w:rsid w:val="00985253"/>
    <w:rsid w:val="009853B3"/>
    <w:rsid w:val="00987836"/>
    <w:rsid w:val="00990630"/>
    <w:rsid w:val="00991143"/>
    <w:rsid w:val="00991761"/>
    <w:rsid w:val="00992186"/>
    <w:rsid w:val="00994DCA"/>
    <w:rsid w:val="009960EC"/>
    <w:rsid w:val="009970DD"/>
    <w:rsid w:val="009A0FBA"/>
    <w:rsid w:val="009A1601"/>
    <w:rsid w:val="009A3BB6"/>
    <w:rsid w:val="009A462D"/>
    <w:rsid w:val="009A5CBA"/>
    <w:rsid w:val="009A6EAE"/>
    <w:rsid w:val="009B1F30"/>
    <w:rsid w:val="009B3AC2"/>
    <w:rsid w:val="009B4DF4"/>
    <w:rsid w:val="009B564E"/>
    <w:rsid w:val="009B7E87"/>
    <w:rsid w:val="009C0169"/>
    <w:rsid w:val="009C1206"/>
    <w:rsid w:val="009C403E"/>
    <w:rsid w:val="009C6B9D"/>
    <w:rsid w:val="009D4FF0"/>
    <w:rsid w:val="009D703C"/>
    <w:rsid w:val="009D718F"/>
    <w:rsid w:val="009E068F"/>
    <w:rsid w:val="009E14E0"/>
    <w:rsid w:val="009E35DB"/>
    <w:rsid w:val="009E47A3"/>
    <w:rsid w:val="009F08F3"/>
    <w:rsid w:val="009F344F"/>
    <w:rsid w:val="009F4EB7"/>
    <w:rsid w:val="009F63B5"/>
    <w:rsid w:val="00A0035C"/>
    <w:rsid w:val="00A020C9"/>
    <w:rsid w:val="00A031D8"/>
    <w:rsid w:val="00A048A8"/>
    <w:rsid w:val="00A04F49"/>
    <w:rsid w:val="00A060D1"/>
    <w:rsid w:val="00A07D77"/>
    <w:rsid w:val="00A13E54"/>
    <w:rsid w:val="00A17F63"/>
    <w:rsid w:val="00A2193B"/>
    <w:rsid w:val="00A22DF3"/>
    <w:rsid w:val="00A2351A"/>
    <w:rsid w:val="00A264A9"/>
    <w:rsid w:val="00A26DCF"/>
    <w:rsid w:val="00A27785"/>
    <w:rsid w:val="00A30187"/>
    <w:rsid w:val="00A30751"/>
    <w:rsid w:val="00A3448A"/>
    <w:rsid w:val="00A36297"/>
    <w:rsid w:val="00A41E2B"/>
    <w:rsid w:val="00A44991"/>
    <w:rsid w:val="00A45B74"/>
    <w:rsid w:val="00A50C70"/>
    <w:rsid w:val="00A52E1D"/>
    <w:rsid w:val="00A611BC"/>
    <w:rsid w:val="00A61499"/>
    <w:rsid w:val="00A62A77"/>
    <w:rsid w:val="00A63483"/>
    <w:rsid w:val="00A657D7"/>
    <w:rsid w:val="00A660AC"/>
    <w:rsid w:val="00A67E6C"/>
    <w:rsid w:val="00A707B9"/>
    <w:rsid w:val="00A71B99"/>
    <w:rsid w:val="00A739D0"/>
    <w:rsid w:val="00A73B68"/>
    <w:rsid w:val="00A761D4"/>
    <w:rsid w:val="00A77EC4"/>
    <w:rsid w:val="00A838F5"/>
    <w:rsid w:val="00A91A12"/>
    <w:rsid w:val="00A92879"/>
    <w:rsid w:val="00A93BF2"/>
    <w:rsid w:val="00A9442A"/>
    <w:rsid w:val="00AA016F"/>
    <w:rsid w:val="00AA1ED6"/>
    <w:rsid w:val="00AA51D6"/>
    <w:rsid w:val="00AB0BC8"/>
    <w:rsid w:val="00AB11CA"/>
    <w:rsid w:val="00AB14D9"/>
    <w:rsid w:val="00AB1903"/>
    <w:rsid w:val="00AB4AB8"/>
    <w:rsid w:val="00AB655E"/>
    <w:rsid w:val="00AC007F"/>
    <w:rsid w:val="00AC22FB"/>
    <w:rsid w:val="00AC2ECD"/>
    <w:rsid w:val="00AC3119"/>
    <w:rsid w:val="00AC49FB"/>
    <w:rsid w:val="00AC5A10"/>
    <w:rsid w:val="00AD0AA3"/>
    <w:rsid w:val="00AD2ED0"/>
    <w:rsid w:val="00AD3F94"/>
    <w:rsid w:val="00AD4A5A"/>
    <w:rsid w:val="00AE25A4"/>
    <w:rsid w:val="00AE27AC"/>
    <w:rsid w:val="00AE40E0"/>
    <w:rsid w:val="00AE4DBA"/>
    <w:rsid w:val="00AE4F07"/>
    <w:rsid w:val="00AE7AA2"/>
    <w:rsid w:val="00AF0F22"/>
    <w:rsid w:val="00AF1C5D"/>
    <w:rsid w:val="00AF3127"/>
    <w:rsid w:val="00AF42D7"/>
    <w:rsid w:val="00AF4D89"/>
    <w:rsid w:val="00B006FE"/>
    <w:rsid w:val="00B007CB"/>
    <w:rsid w:val="00B01CED"/>
    <w:rsid w:val="00B02AA9"/>
    <w:rsid w:val="00B02FA3"/>
    <w:rsid w:val="00B05084"/>
    <w:rsid w:val="00B157F9"/>
    <w:rsid w:val="00B20256"/>
    <w:rsid w:val="00B20D09"/>
    <w:rsid w:val="00B21B28"/>
    <w:rsid w:val="00B222FF"/>
    <w:rsid w:val="00B2757F"/>
    <w:rsid w:val="00B2763F"/>
    <w:rsid w:val="00B27AAC"/>
    <w:rsid w:val="00B30929"/>
    <w:rsid w:val="00B33C7E"/>
    <w:rsid w:val="00B372AA"/>
    <w:rsid w:val="00B40445"/>
    <w:rsid w:val="00B409E0"/>
    <w:rsid w:val="00B41888"/>
    <w:rsid w:val="00B45A52"/>
    <w:rsid w:val="00B46175"/>
    <w:rsid w:val="00B50524"/>
    <w:rsid w:val="00B548B7"/>
    <w:rsid w:val="00B5604F"/>
    <w:rsid w:val="00B56A49"/>
    <w:rsid w:val="00B604E1"/>
    <w:rsid w:val="00B664C7"/>
    <w:rsid w:val="00B713D8"/>
    <w:rsid w:val="00B739F6"/>
    <w:rsid w:val="00B81A6C"/>
    <w:rsid w:val="00B84F31"/>
    <w:rsid w:val="00B85DE5"/>
    <w:rsid w:val="00B90F73"/>
    <w:rsid w:val="00B92BBD"/>
    <w:rsid w:val="00B93B59"/>
    <w:rsid w:val="00B9406A"/>
    <w:rsid w:val="00BA2280"/>
    <w:rsid w:val="00BA2A08"/>
    <w:rsid w:val="00BA56D2"/>
    <w:rsid w:val="00BA76E0"/>
    <w:rsid w:val="00BB2A25"/>
    <w:rsid w:val="00BB51E9"/>
    <w:rsid w:val="00BC0FDC"/>
    <w:rsid w:val="00BC3053"/>
    <w:rsid w:val="00BC4095"/>
    <w:rsid w:val="00BC4D2E"/>
    <w:rsid w:val="00BD32F5"/>
    <w:rsid w:val="00BD48AC"/>
    <w:rsid w:val="00BD5F1A"/>
    <w:rsid w:val="00BE1234"/>
    <w:rsid w:val="00BE2FA6"/>
    <w:rsid w:val="00BE333F"/>
    <w:rsid w:val="00BE7406"/>
    <w:rsid w:val="00BE7603"/>
    <w:rsid w:val="00BF1E5D"/>
    <w:rsid w:val="00BF3279"/>
    <w:rsid w:val="00BF74C7"/>
    <w:rsid w:val="00C015F1"/>
    <w:rsid w:val="00C01F33"/>
    <w:rsid w:val="00C02CC6"/>
    <w:rsid w:val="00C040F7"/>
    <w:rsid w:val="00C044AB"/>
    <w:rsid w:val="00C05706"/>
    <w:rsid w:val="00C07377"/>
    <w:rsid w:val="00C10478"/>
    <w:rsid w:val="00C12107"/>
    <w:rsid w:val="00C14651"/>
    <w:rsid w:val="00C14D4B"/>
    <w:rsid w:val="00C154BB"/>
    <w:rsid w:val="00C15C5C"/>
    <w:rsid w:val="00C279B5"/>
    <w:rsid w:val="00C27C45"/>
    <w:rsid w:val="00C30F2E"/>
    <w:rsid w:val="00C3719D"/>
    <w:rsid w:val="00C37CB2"/>
    <w:rsid w:val="00C473A5"/>
    <w:rsid w:val="00C5068D"/>
    <w:rsid w:val="00C54995"/>
    <w:rsid w:val="00C54D41"/>
    <w:rsid w:val="00C60783"/>
    <w:rsid w:val="00C64672"/>
    <w:rsid w:val="00C70697"/>
    <w:rsid w:val="00C72093"/>
    <w:rsid w:val="00C72395"/>
    <w:rsid w:val="00C72EF4"/>
    <w:rsid w:val="00C744FE"/>
    <w:rsid w:val="00C75D2F"/>
    <w:rsid w:val="00C767BE"/>
    <w:rsid w:val="00C76E3C"/>
    <w:rsid w:val="00C81568"/>
    <w:rsid w:val="00C815B9"/>
    <w:rsid w:val="00C9027A"/>
    <w:rsid w:val="00C9068E"/>
    <w:rsid w:val="00C90E43"/>
    <w:rsid w:val="00C93814"/>
    <w:rsid w:val="00C93C4B"/>
    <w:rsid w:val="00C944AB"/>
    <w:rsid w:val="00C95B40"/>
    <w:rsid w:val="00CA1ED8"/>
    <w:rsid w:val="00CA3F6C"/>
    <w:rsid w:val="00CB1185"/>
    <w:rsid w:val="00CB1F63"/>
    <w:rsid w:val="00CB6BFE"/>
    <w:rsid w:val="00CB7170"/>
    <w:rsid w:val="00CB7EEE"/>
    <w:rsid w:val="00CC040E"/>
    <w:rsid w:val="00CC111F"/>
    <w:rsid w:val="00CC14C3"/>
    <w:rsid w:val="00CC2011"/>
    <w:rsid w:val="00CC3EA0"/>
    <w:rsid w:val="00CC7B45"/>
    <w:rsid w:val="00CD1188"/>
    <w:rsid w:val="00CD2ED1"/>
    <w:rsid w:val="00CD337B"/>
    <w:rsid w:val="00CE0424"/>
    <w:rsid w:val="00CE7561"/>
    <w:rsid w:val="00CF1354"/>
    <w:rsid w:val="00CF3590"/>
    <w:rsid w:val="00CF3B1F"/>
    <w:rsid w:val="00CF3BF6"/>
    <w:rsid w:val="00CF625B"/>
    <w:rsid w:val="00CF687E"/>
    <w:rsid w:val="00D0014A"/>
    <w:rsid w:val="00D02BAE"/>
    <w:rsid w:val="00D0349B"/>
    <w:rsid w:val="00D05EEB"/>
    <w:rsid w:val="00D10249"/>
    <w:rsid w:val="00D115C3"/>
    <w:rsid w:val="00D11897"/>
    <w:rsid w:val="00D13135"/>
    <w:rsid w:val="00D13E4E"/>
    <w:rsid w:val="00D21644"/>
    <w:rsid w:val="00D239A7"/>
    <w:rsid w:val="00D23F47"/>
    <w:rsid w:val="00D26317"/>
    <w:rsid w:val="00D36E71"/>
    <w:rsid w:val="00D37D87"/>
    <w:rsid w:val="00D40B33"/>
    <w:rsid w:val="00D42885"/>
    <w:rsid w:val="00D42D31"/>
    <w:rsid w:val="00D4318F"/>
    <w:rsid w:val="00D438BF"/>
    <w:rsid w:val="00D440F8"/>
    <w:rsid w:val="00D546FF"/>
    <w:rsid w:val="00D55AD5"/>
    <w:rsid w:val="00D576CA"/>
    <w:rsid w:val="00D605BD"/>
    <w:rsid w:val="00D61AF5"/>
    <w:rsid w:val="00D64292"/>
    <w:rsid w:val="00D652B5"/>
    <w:rsid w:val="00D66155"/>
    <w:rsid w:val="00D708B0"/>
    <w:rsid w:val="00D7095E"/>
    <w:rsid w:val="00D760E4"/>
    <w:rsid w:val="00D77B1D"/>
    <w:rsid w:val="00D8021F"/>
    <w:rsid w:val="00D80383"/>
    <w:rsid w:val="00D823C6"/>
    <w:rsid w:val="00D8327F"/>
    <w:rsid w:val="00D848E6"/>
    <w:rsid w:val="00D86CA3"/>
    <w:rsid w:val="00D871CE"/>
    <w:rsid w:val="00D90B58"/>
    <w:rsid w:val="00D9196D"/>
    <w:rsid w:val="00D92982"/>
    <w:rsid w:val="00D95003"/>
    <w:rsid w:val="00D95273"/>
    <w:rsid w:val="00D955E4"/>
    <w:rsid w:val="00D97A72"/>
    <w:rsid w:val="00DA22D6"/>
    <w:rsid w:val="00DA305E"/>
    <w:rsid w:val="00DA5417"/>
    <w:rsid w:val="00DA56E8"/>
    <w:rsid w:val="00DB00E9"/>
    <w:rsid w:val="00DB0A9F"/>
    <w:rsid w:val="00DB377D"/>
    <w:rsid w:val="00DC0AAD"/>
    <w:rsid w:val="00DC2D36"/>
    <w:rsid w:val="00DC327D"/>
    <w:rsid w:val="00DC52C0"/>
    <w:rsid w:val="00DC53EF"/>
    <w:rsid w:val="00DD2D86"/>
    <w:rsid w:val="00DD756D"/>
    <w:rsid w:val="00DE15D2"/>
    <w:rsid w:val="00DE44AB"/>
    <w:rsid w:val="00DE5608"/>
    <w:rsid w:val="00DE58D0"/>
    <w:rsid w:val="00DE654F"/>
    <w:rsid w:val="00DF0B6E"/>
    <w:rsid w:val="00DF15E0"/>
    <w:rsid w:val="00DF37A0"/>
    <w:rsid w:val="00DF6859"/>
    <w:rsid w:val="00E00685"/>
    <w:rsid w:val="00E01457"/>
    <w:rsid w:val="00E01926"/>
    <w:rsid w:val="00E110E7"/>
    <w:rsid w:val="00E11B20"/>
    <w:rsid w:val="00E122FC"/>
    <w:rsid w:val="00E1787C"/>
    <w:rsid w:val="00E179DE"/>
    <w:rsid w:val="00E17FA2"/>
    <w:rsid w:val="00E22330"/>
    <w:rsid w:val="00E30B5A"/>
    <w:rsid w:val="00E3123D"/>
    <w:rsid w:val="00E31461"/>
    <w:rsid w:val="00E31D43"/>
    <w:rsid w:val="00E32608"/>
    <w:rsid w:val="00E34188"/>
    <w:rsid w:val="00E34B6E"/>
    <w:rsid w:val="00E35559"/>
    <w:rsid w:val="00E3723A"/>
    <w:rsid w:val="00E37860"/>
    <w:rsid w:val="00E4144F"/>
    <w:rsid w:val="00E43413"/>
    <w:rsid w:val="00E43914"/>
    <w:rsid w:val="00E446F1"/>
    <w:rsid w:val="00E46886"/>
    <w:rsid w:val="00E47AEF"/>
    <w:rsid w:val="00E53B75"/>
    <w:rsid w:val="00E54E3B"/>
    <w:rsid w:val="00E57565"/>
    <w:rsid w:val="00E63838"/>
    <w:rsid w:val="00E64434"/>
    <w:rsid w:val="00E6573D"/>
    <w:rsid w:val="00E669CF"/>
    <w:rsid w:val="00E67C51"/>
    <w:rsid w:val="00E72EFC"/>
    <w:rsid w:val="00E758EC"/>
    <w:rsid w:val="00E77AE8"/>
    <w:rsid w:val="00E8234C"/>
    <w:rsid w:val="00E83AA9"/>
    <w:rsid w:val="00E85928"/>
    <w:rsid w:val="00E87822"/>
    <w:rsid w:val="00E90395"/>
    <w:rsid w:val="00E90E49"/>
    <w:rsid w:val="00E917F9"/>
    <w:rsid w:val="00E9291C"/>
    <w:rsid w:val="00E93FFE"/>
    <w:rsid w:val="00E94F8A"/>
    <w:rsid w:val="00EA12CA"/>
    <w:rsid w:val="00EA6C9F"/>
    <w:rsid w:val="00EA7A41"/>
    <w:rsid w:val="00EB077B"/>
    <w:rsid w:val="00EB4EA2"/>
    <w:rsid w:val="00EC24D5"/>
    <w:rsid w:val="00EC27C6"/>
    <w:rsid w:val="00EC4207"/>
    <w:rsid w:val="00EC5653"/>
    <w:rsid w:val="00EC71CE"/>
    <w:rsid w:val="00ED1006"/>
    <w:rsid w:val="00ED1877"/>
    <w:rsid w:val="00ED21CF"/>
    <w:rsid w:val="00EE59D4"/>
    <w:rsid w:val="00EF0E86"/>
    <w:rsid w:val="00EF18FE"/>
    <w:rsid w:val="00EF550C"/>
    <w:rsid w:val="00EF5787"/>
    <w:rsid w:val="00EF60D0"/>
    <w:rsid w:val="00EF6967"/>
    <w:rsid w:val="00F012A4"/>
    <w:rsid w:val="00F01B1B"/>
    <w:rsid w:val="00F02441"/>
    <w:rsid w:val="00F0528D"/>
    <w:rsid w:val="00F05B36"/>
    <w:rsid w:val="00F06C67"/>
    <w:rsid w:val="00F06DFD"/>
    <w:rsid w:val="00F071D1"/>
    <w:rsid w:val="00F07533"/>
    <w:rsid w:val="00F10629"/>
    <w:rsid w:val="00F115EE"/>
    <w:rsid w:val="00F15FA5"/>
    <w:rsid w:val="00F209B7"/>
    <w:rsid w:val="00F20E44"/>
    <w:rsid w:val="00F211FE"/>
    <w:rsid w:val="00F2376F"/>
    <w:rsid w:val="00F243D8"/>
    <w:rsid w:val="00F30828"/>
    <w:rsid w:val="00F313D6"/>
    <w:rsid w:val="00F40F0C"/>
    <w:rsid w:val="00F44584"/>
    <w:rsid w:val="00F4766C"/>
    <w:rsid w:val="00F5060E"/>
    <w:rsid w:val="00F507D1"/>
    <w:rsid w:val="00F519CE"/>
    <w:rsid w:val="00F51ADA"/>
    <w:rsid w:val="00F51DEA"/>
    <w:rsid w:val="00F53315"/>
    <w:rsid w:val="00F564B6"/>
    <w:rsid w:val="00F56AE9"/>
    <w:rsid w:val="00F60203"/>
    <w:rsid w:val="00F607C5"/>
    <w:rsid w:val="00F60DEA"/>
    <w:rsid w:val="00F6302A"/>
    <w:rsid w:val="00F63950"/>
    <w:rsid w:val="00F64C2B"/>
    <w:rsid w:val="00F651BE"/>
    <w:rsid w:val="00F67F53"/>
    <w:rsid w:val="00F703BE"/>
    <w:rsid w:val="00F7100E"/>
    <w:rsid w:val="00F71F69"/>
    <w:rsid w:val="00F72B72"/>
    <w:rsid w:val="00F74BB9"/>
    <w:rsid w:val="00F74FBE"/>
    <w:rsid w:val="00F75582"/>
    <w:rsid w:val="00F76EFA"/>
    <w:rsid w:val="00F804BE"/>
    <w:rsid w:val="00F817CE"/>
    <w:rsid w:val="00F8456C"/>
    <w:rsid w:val="00F859D8"/>
    <w:rsid w:val="00F868F5"/>
    <w:rsid w:val="00F87344"/>
    <w:rsid w:val="00F9056A"/>
    <w:rsid w:val="00F90F8D"/>
    <w:rsid w:val="00F92782"/>
    <w:rsid w:val="00F93AA9"/>
    <w:rsid w:val="00F96985"/>
    <w:rsid w:val="00F97838"/>
    <w:rsid w:val="00FA0ABA"/>
    <w:rsid w:val="00FA2BB3"/>
    <w:rsid w:val="00FA5CD1"/>
    <w:rsid w:val="00FB1F36"/>
    <w:rsid w:val="00FB3673"/>
    <w:rsid w:val="00FB4C80"/>
    <w:rsid w:val="00FB6A6A"/>
    <w:rsid w:val="00FC4AFC"/>
    <w:rsid w:val="00FC7429"/>
    <w:rsid w:val="00FD07F6"/>
    <w:rsid w:val="00FD1EC8"/>
    <w:rsid w:val="00FD215D"/>
    <w:rsid w:val="00FD47ED"/>
    <w:rsid w:val="00FD74DB"/>
    <w:rsid w:val="00FD7660"/>
    <w:rsid w:val="00FE0655"/>
    <w:rsid w:val="00FE2365"/>
    <w:rsid w:val="00FE37D7"/>
    <w:rsid w:val="00FE4C7B"/>
    <w:rsid w:val="00FE7336"/>
    <w:rsid w:val="00FE787C"/>
    <w:rsid w:val="00FF0EF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F56AE9"/>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F56AE9"/>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F56AE9"/>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tabletext">
    <w:name w:val="IvD tabletext"/>
    <w:basedOn w:val="BodyText"/>
    <w:link w:val="IvDtabletextChar"/>
    <w:qFormat/>
    <w:rsid w:val="002179B6"/>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SimSun" w:cs="Times New Roman"/>
      <w:spacing w:val="2"/>
      <w:szCs w:val="20"/>
      <w:lang w:eastAsia="en-US"/>
    </w:rPr>
  </w:style>
  <w:style w:type="character" w:customStyle="1" w:styleId="IvDtabletextChar">
    <w:name w:val="IvD tabletext Char"/>
    <w:basedOn w:val="DefaultParagraphFont"/>
    <w:link w:val="IvDtabletext"/>
    <w:rsid w:val="002179B6"/>
    <w:rPr>
      <w:rFonts w:ascii="Arial" w:eastAsia="SimSun" w:hAnsi="Arial"/>
      <w:spacing w:val="2"/>
      <w:lang w:val="en-US" w:eastAsia="en-US"/>
    </w:rPr>
  </w:style>
  <w:style w:type="character" w:customStyle="1" w:styleId="TAHChar">
    <w:name w:val="TAH Char"/>
    <w:locked/>
    <w:rsid w:val="00D02BAE"/>
    <w:rPr>
      <w:rFonts w:ascii="Arial" w:hAnsi="Arial" w:cs="Arial"/>
      <w:b/>
      <w:bCs/>
      <w:lang w:eastAsia="en-US"/>
    </w:rPr>
  </w:style>
  <w:style w:type="character" w:customStyle="1" w:styleId="TALChar">
    <w:name w:val="TAL Char"/>
    <w:locked/>
    <w:rsid w:val="00D02BAE"/>
    <w:rPr>
      <w:rFonts w:ascii="Arial" w:hAnsi="Arial" w:cs="Arial"/>
      <w:sz w:val="18"/>
      <w:lang w:eastAsia="en-US"/>
    </w:rPr>
  </w:style>
  <w:style w:type="paragraph" w:styleId="Revision">
    <w:name w:val="Revision"/>
    <w:hidden/>
    <w:uiPriority w:val="99"/>
    <w:semiHidden/>
    <w:rsid w:val="005014A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49288B"/>
    <w:rPr>
      <w:color w:val="605E5C"/>
      <w:shd w:val="clear" w:color="auto" w:fill="E1DFDD"/>
    </w:rPr>
  </w:style>
  <w:style w:type="character" w:styleId="Mention">
    <w:name w:val="Mention"/>
    <w:basedOn w:val="DefaultParagraphFont"/>
    <w:uiPriority w:val="99"/>
    <w:unhideWhenUsed/>
    <w:rsid w:val="0049288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ADA4D-84B9-4B4E-8A6E-5FB37DE8E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1581</Words>
  <Characters>9160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10720</CharactersWithSpaces>
  <SharedDoc>false</SharedDoc>
  <HLinks>
    <vt:vector size="60" baseType="variant">
      <vt:variant>
        <vt:i4>1310778</vt:i4>
      </vt:variant>
      <vt:variant>
        <vt:i4>65</vt:i4>
      </vt:variant>
      <vt:variant>
        <vt:i4>0</vt:i4>
      </vt:variant>
      <vt:variant>
        <vt:i4>5</vt:i4>
      </vt:variant>
      <vt:variant>
        <vt:lpwstr/>
      </vt:variant>
      <vt:variant>
        <vt:lpwstr>_Toc118278487</vt:lpwstr>
      </vt:variant>
      <vt:variant>
        <vt:i4>1310778</vt:i4>
      </vt:variant>
      <vt:variant>
        <vt:i4>62</vt:i4>
      </vt:variant>
      <vt:variant>
        <vt:i4>0</vt:i4>
      </vt:variant>
      <vt:variant>
        <vt:i4>5</vt:i4>
      </vt:variant>
      <vt:variant>
        <vt:lpwstr/>
      </vt:variant>
      <vt:variant>
        <vt:lpwstr>_Toc118278486</vt:lpwstr>
      </vt:variant>
      <vt:variant>
        <vt:i4>1310778</vt:i4>
      </vt:variant>
      <vt:variant>
        <vt:i4>59</vt:i4>
      </vt:variant>
      <vt:variant>
        <vt:i4>0</vt:i4>
      </vt:variant>
      <vt:variant>
        <vt:i4>5</vt:i4>
      </vt:variant>
      <vt:variant>
        <vt:lpwstr/>
      </vt:variant>
      <vt:variant>
        <vt:lpwstr>_Toc118278485</vt:lpwstr>
      </vt:variant>
      <vt:variant>
        <vt:i4>1310778</vt:i4>
      </vt:variant>
      <vt:variant>
        <vt:i4>56</vt:i4>
      </vt:variant>
      <vt:variant>
        <vt:i4>0</vt:i4>
      </vt:variant>
      <vt:variant>
        <vt:i4>5</vt:i4>
      </vt:variant>
      <vt:variant>
        <vt:lpwstr/>
      </vt:variant>
      <vt:variant>
        <vt:lpwstr>_Toc118278484</vt:lpwstr>
      </vt:variant>
      <vt:variant>
        <vt:i4>1310778</vt:i4>
      </vt:variant>
      <vt:variant>
        <vt:i4>53</vt:i4>
      </vt:variant>
      <vt:variant>
        <vt:i4>0</vt:i4>
      </vt:variant>
      <vt:variant>
        <vt:i4>5</vt:i4>
      </vt:variant>
      <vt:variant>
        <vt:lpwstr/>
      </vt:variant>
      <vt:variant>
        <vt:lpwstr>_Toc118278481</vt:lpwstr>
      </vt:variant>
      <vt:variant>
        <vt:i4>1310778</vt:i4>
      </vt:variant>
      <vt:variant>
        <vt:i4>47</vt:i4>
      </vt:variant>
      <vt:variant>
        <vt:i4>0</vt:i4>
      </vt:variant>
      <vt:variant>
        <vt:i4>5</vt:i4>
      </vt:variant>
      <vt:variant>
        <vt:lpwstr/>
      </vt:variant>
      <vt:variant>
        <vt:lpwstr>_Toc118278480</vt:lpwstr>
      </vt:variant>
      <vt:variant>
        <vt:i4>1769530</vt:i4>
      </vt:variant>
      <vt:variant>
        <vt:i4>44</vt:i4>
      </vt:variant>
      <vt:variant>
        <vt:i4>0</vt:i4>
      </vt:variant>
      <vt:variant>
        <vt:i4>5</vt:i4>
      </vt:variant>
      <vt:variant>
        <vt:lpwstr/>
      </vt:variant>
      <vt:variant>
        <vt:lpwstr>_Toc118278479</vt:lpwstr>
      </vt:variant>
      <vt:variant>
        <vt:i4>1769530</vt:i4>
      </vt:variant>
      <vt:variant>
        <vt:i4>41</vt:i4>
      </vt:variant>
      <vt:variant>
        <vt:i4>0</vt:i4>
      </vt:variant>
      <vt:variant>
        <vt:i4>5</vt:i4>
      </vt:variant>
      <vt:variant>
        <vt:lpwstr/>
      </vt:variant>
      <vt:variant>
        <vt:lpwstr>_Toc118278478</vt:lpwstr>
      </vt:variant>
      <vt:variant>
        <vt:i4>917603</vt:i4>
      </vt:variant>
      <vt:variant>
        <vt:i4>3</vt:i4>
      </vt:variant>
      <vt:variant>
        <vt:i4>0</vt:i4>
      </vt:variant>
      <vt:variant>
        <vt:i4>5</vt:i4>
      </vt:variant>
      <vt:variant>
        <vt:lpwstr>mailto:magnus.astrom@ericsson.com</vt:lpwstr>
      </vt:variant>
      <vt:variant>
        <vt:lpwstr/>
      </vt:variant>
      <vt:variant>
        <vt:i4>5111858</vt:i4>
      </vt:variant>
      <vt:variant>
        <vt:i4>0</vt:i4>
      </vt:variant>
      <vt:variant>
        <vt:i4>0</vt:i4>
      </vt:variant>
      <vt:variant>
        <vt:i4>5</vt:i4>
      </vt:variant>
      <vt:variant>
        <vt:lpwstr>mailto:boris.dortschy@ericsson.com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2022-11-07T14:39:00Z</dcterms:created>
  <dcterms:modified xsi:type="dcterms:W3CDTF">2022-11-07T14:39:00Z</dcterms:modified>
  <cp:category/>
</cp:coreProperties>
</file>